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8E" w:rsidRPr="003344C6" w:rsidRDefault="006C113A" w:rsidP="00EA75D5">
      <w:pPr>
        <w:jc w:val="center"/>
        <w:rPr>
          <w:b/>
          <w:sz w:val="32"/>
          <w:szCs w:val="32"/>
        </w:rPr>
      </w:pPr>
      <w:r w:rsidRPr="003344C6">
        <w:rPr>
          <w:b/>
          <w:sz w:val="32"/>
          <w:szCs w:val="32"/>
        </w:rPr>
        <w:t>MIETVERTRAG</w:t>
      </w:r>
    </w:p>
    <w:p w:rsidR="003344C6" w:rsidRDefault="003344C6" w:rsidP="00EA75D5">
      <w:pPr>
        <w:jc w:val="center"/>
      </w:pPr>
    </w:p>
    <w:p w:rsidR="006C113A" w:rsidRDefault="003344C6" w:rsidP="00EA75D5">
      <w:pPr>
        <w:jc w:val="center"/>
      </w:pPr>
      <w:r>
        <w:t>z</w:t>
      </w:r>
      <w:r w:rsidR="006C113A">
        <w:t>wischen</w:t>
      </w:r>
    </w:p>
    <w:p w:rsidR="005D60CB" w:rsidRDefault="005D60CB" w:rsidP="00EA75D5">
      <w:pPr>
        <w:jc w:val="center"/>
        <w:rPr>
          <w:b/>
        </w:rPr>
      </w:pPr>
    </w:p>
    <w:p w:rsidR="006C113A" w:rsidRDefault="005D60CB" w:rsidP="00EA75D5">
      <w:pPr>
        <w:jc w:val="center"/>
      </w:pPr>
      <w:r>
        <w:rPr>
          <w:b/>
        </w:rPr>
        <w:t>Vermieter (Name, Adresse)</w:t>
      </w:r>
    </w:p>
    <w:p w:rsidR="006C113A" w:rsidRDefault="006C113A" w:rsidP="00EA75D5">
      <w:pPr>
        <w:jc w:val="center"/>
      </w:pPr>
    </w:p>
    <w:p w:rsidR="006C113A" w:rsidRDefault="003344C6" w:rsidP="00EA75D5">
      <w:pPr>
        <w:ind w:left="720"/>
        <w:jc w:val="center"/>
      </w:pPr>
      <w:r>
        <w:t xml:space="preserve">- </w:t>
      </w:r>
      <w:r w:rsidR="006C113A">
        <w:t>nachstehend Vermieter genannt</w:t>
      </w:r>
      <w:r>
        <w:t xml:space="preserve"> -</w:t>
      </w:r>
    </w:p>
    <w:p w:rsidR="003344C6" w:rsidRDefault="003344C6" w:rsidP="00EA75D5">
      <w:pPr>
        <w:jc w:val="center"/>
      </w:pPr>
    </w:p>
    <w:p w:rsidR="006C113A" w:rsidRPr="003344C6" w:rsidRDefault="006C113A" w:rsidP="00EA75D5">
      <w:pPr>
        <w:jc w:val="center"/>
        <w:rPr>
          <w:b/>
        </w:rPr>
      </w:pPr>
      <w:r w:rsidRPr="003344C6">
        <w:rPr>
          <w:b/>
        </w:rPr>
        <w:t>und</w:t>
      </w:r>
    </w:p>
    <w:p w:rsidR="005D60CB" w:rsidRDefault="005D60CB" w:rsidP="00EA75D5">
      <w:pPr>
        <w:jc w:val="center"/>
        <w:rPr>
          <w:b/>
        </w:rPr>
      </w:pPr>
    </w:p>
    <w:p w:rsidR="006C113A" w:rsidRDefault="005D60CB" w:rsidP="00EA75D5">
      <w:pPr>
        <w:jc w:val="center"/>
        <w:rPr>
          <w:b/>
        </w:rPr>
      </w:pPr>
      <w:r>
        <w:rPr>
          <w:b/>
        </w:rPr>
        <w:t>Mieter (Name, Adresse)</w:t>
      </w:r>
      <w:bookmarkStart w:id="0" w:name="_GoBack"/>
      <w:bookmarkEnd w:id="0"/>
    </w:p>
    <w:p w:rsidR="003344C6" w:rsidRPr="003344C6" w:rsidRDefault="003344C6" w:rsidP="00EA75D5">
      <w:pPr>
        <w:jc w:val="center"/>
        <w:rPr>
          <w:b/>
        </w:rPr>
      </w:pPr>
    </w:p>
    <w:p w:rsidR="006C113A" w:rsidRPr="003344C6" w:rsidRDefault="003344C6" w:rsidP="00EA75D5">
      <w:pPr>
        <w:jc w:val="center"/>
      </w:pPr>
      <w:r w:rsidRPr="003344C6">
        <w:t xml:space="preserve">- </w:t>
      </w:r>
      <w:r w:rsidR="006C113A" w:rsidRPr="003344C6">
        <w:t>nachstehend Mieter genannt</w:t>
      </w:r>
      <w:r w:rsidRPr="003344C6">
        <w:t xml:space="preserve"> </w:t>
      </w:r>
      <w:r w:rsidR="006C113A" w:rsidRPr="003344C6">
        <w:t>-</w:t>
      </w:r>
    </w:p>
    <w:p w:rsidR="006C113A" w:rsidRDefault="006C113A" w:rsidP="00EA75D5">
      <w:pPr>
        <w:jc w:val="both"/>
      </w:pPr>
    </w:p>
    <w:p w:rsidR="006C113A" w:rsidRDefault="006C113A" w:rsidP="00EA75D5">
      <w:pPr>
        <w:jc w:val="both"/>
      </w:pPr>
    </w:p>
    <w:p w:rsidR="006C113A" w:rsidRPr="003344C6" w:rsidRDefault="00D83FB6" w:rsidP="00EA75D5">
      <w:pPr>
        <w:jc w:val="center"/>
        <w:rPr>
          <w:b/>
        </w:rPr>
      </w:pPr>
      <w:r>
        <w:rPr>
          <w:b/>
        </w:rPr>
        <w:t>§ 1</w:t>
      </w:r>
      <w:r w:rsidR="006C113A" w:rsidRPr="003344C6">
        <w:rPr>
          <w:b/>
        </w:rPr>
        <w:t xml:space="preserve"> Mieträume</w:t>
      </w:r>
    </w:p>
    <w:p w:rsidR="006C113A" w:rsidRDefault="006C113A" w:rsidP="00EA75D5">
      <w:pPr>
        <w:pStyle w:val="Listenabsatz"/>
        <w:numPr>
          <w:ilvl w:val="0"/>
          <w:numId w:val="4"/>
        </w:numPr>
        <w:jc w:val="both"/>
      </w:pPr>
      <w:r>
        <w:t xml:space="preserve">Vermietet wird im Haus </w:t>
      </w:r>
      <w:r w:rsidR="005D60CB">
        <w:t>………………………..</w:t>
      </w:r>
      <w:r w:rsidR="00236B20">
        <w:t xml:space="preserve"> die im </w:t>
      </w:r>
      <w:r w:rsidR="005D60CB">
        <w:t>……….</w:t>
      </w:r>
      <w:r w:rsidR="00236B20">
        <w:t xml:space="preserve"> gelegene Wohnung Nr.</w:t>
      </w:r>
      <w:r w:rsidR="003344C6">
        <w:t xml:space="preserve"> </w:t>
      </w:r>
      <w:r w:rsidR="005D60CB">
        <w:t>….</w:t>
      </w:r>
      <w:r w:rsidR="003344C6">
        <w:t xml:space="preserve"> bestehend aus 2 Zimmer(n) mit</w:t>
      </w:r>
      <w:r w:rsidR="00236B20">
        <w:t xml:space="preserve"> Küche, 1 Diele, 1</w:t>
      </w:r>
      <w:r w:rsidRPr="006C113A">
        <w:t xml:space="preserve"> </w:t>
      </w:r>
      <w:r w:rsidR="00236B20">
        <w:t>Bad/WC, Terrasse.</w:t>
      </w:r>
    </w:p>
    <w:p w:rsidR="00236B20" w:rsidRDefault="00236B20" w:rsidP="00EA75D5">
      <w:pPr>
        <w:pStyle w:val="Listenabsatz"/>
        <w:jc w:val="both"/>
      </w:pPr>
      <w:r>
        <w:t xml:space="preserve">Für den Keller Nr. </w:t>
      </w:r>
      <w:r w:rsidR="005D60CB">
        <w:t>…..</w:t>
      </w:r>
      <w:r>
        <w:t xml:space="preserve"> wir dem Mieter ein Nutzungsrecht eingeräumt.</w:t>
      </w:r>
    </w:p>
    <w:p w:rsidR="00236B20" w:rsidRDefault="00236B20" w:rsidP="00EA75D5">
      <w:pPr>
        <w:pStyle w:val="Listenabsatz"/>
        <w:numPr>
          <w:ilvl w:val="0"/>
          <w:numId w:val="4"/>
        </w:numPr>
        <w:jc w:val="both"/>
      </w:pPr>
      <w:r>
        <w:t>Die Mieträume dürfen nur zu Wohnzwecken benutz</w:t>
      </w:r>
      <w:r w:rsidR="006318CF">
        <w:t>t</w:t>
      </w:r>
      <w:r>
        <w:t xml:space="preserve"> werden, und zwar vom </w:t>
      </w:r>
      <w:r w:rsidR="006318CF">
        <w:t>Mieter und 1 weiteren Person</w:t>
      </w:r>
      <w:r>
        <w:t>.</w:t>
      </w:r>
    </w:p>
    <w:p w:rsidR="00236B20" w:rsidRDefault="00236B20" w:rsidP="00EA75D5">
      <w:pPr>
        <w:pStyle w:val="Listenabsatz"/>
        <w:numPr>
          <w:ilvl w:val="0"/>
          <w:numId w:val="4"/>
        </w:numPr>
        <w:jc w:val="both"/>
      </w:pPr>
      <w:r>
        <w:t>Der Mieter ist berechtigt, Ge</w:t>
      </w:r>
      <w:r w:rsidR="006318CF">
        <w:t xml:space="preserve">meinschaftseinrichtungen </w:t>
      </w:r>
      <w:r>
        <w:t>nach Maßgabe der Hausordnung mi</w:t>
      </w:r>
      <w:r>
        <w:t>t</w:t>
      </w:r>
      <w:r>
        <w:t>zubenutzen.</w:t>
      </w:r>
    </w:p>
    <w:p w:rsidR="00236B20" w:rsidRDefault="00236B20" w:rsidP="00EA75D5">
      <w:pPr>
        <w:pStyle w:val="Listenabsatz"/>
        <w:numPr>
          <w:ilvl w:val="0"/>
          <w:numId w:val="4"/>
        </w:numPr>
        <w:jc w:val="both"/>
      </w:pPr>
      <w:r>
        <w:t>Anzahl und Art der übergebenen Schlüssel werden im Übergabeprotokoll festgehalten. We</w:t>
      </w:r>
      <w:r>
        <w:t>i</w:t>
      </w:r>
      <w:r>
        <w:t>tere Schlüssel dürfen nur mit Zustimmung des Vermieters angeschafft werden.</w:t>
      </w:r>
    </w:p>
    <w:p w:rsidR="00236B20" w:rsidRDefault="00236B20" w:rsidP="00EA75D5">
      <w:pPr>
        <w:pStyle w:val="Listenabsatz"/>
        <w:jc w:val="both"/>
      </w:pPr>
    </w:p>
    <w:p w:rsidR="00236B20" w:rsidRPr="006318CF" w:rsidRDefault="00D83FB6" w:rsidP="00EA75D5">
      <w:pPr>
        <w:jc w:val="center"/>
        <w:rPr>
          <w:b/>
        </w:rPr>
      </w:pPr>
      <w:r>
        <w:rPr>
          <w:b/>
        </w:rPr>
        <w:t>§ 2</w:t>
      </w:r>
      <w:r w:rsidR="00236B20" w:rsidRPr="006318CF">
        <w:rPr>
          <w:b/>
        </w:rPr>
        <w:t xml:space="preserve"> Mietzeit</w:t>
      </w:r>
    </w:p>
    <w:p w:rsidR="00236B20" w:rsidRDefault="00236B20" w:rsidP="00EA75D5">
      <w:pPr>
        <w:pStyle w:val="Listenabsatz"/>
        <w:numPr>
          <w:ilvl w:val="0"/>
          <w:numId w:val="5"/>
        </w:numPr>
        <w:jc w:val="both"/>
      </w:pPr>
      <w:r>
        <w:t xml:space="preserve">Der Mietvertrag beginnt am </w:t>
      </w:r>
      <w:r w:rsidR="005D60CB">
        <w:t>dd</w:t>
      </w:r>
      <w:r>
        <w:t>.</w:t>
      </w:r>
      <w:r w:rsidR="005D60CB">
        <w:t>mm</w:t>
      </w:r>
      <w:r>
        <w:t>.</w:t>
      </w:r>
      <w:r w:rsidR="005D60CB">
        <w:t>yyyy</w:t>
      </w:r>
      <w:r>
        <w:t xml:space="preserve"> und wird auf unbestimmte Zeit geschlossen. Es ge</w:t>
      </w:r>
      <w:r>
        <w:t>l</w:t>
      </w:r>
      <w:r>
        <w:t>ten die gesetzlichen Kündigungsfristen.</w:t>
      </w:r>
    </w:p>
    <w:p w:rsidR="00236B20" w:rsidRDefault="00236B20" w:rsidP="00EA75D5">
      <w:pPr>
        <w:pStyle w:val="Listenabsatz"/>
        <w:numPr>
          <w:ilvl w:val="0"/>
          <w:numId w:val="5"/>
        </w:numPr>
        <w:jc w:val="both"/>
      </w:pPr>
      <w:r>
        <w:t>Die Kündigung bedarf der Schriftform. Für die Rechtzeitigkeit kommt es nicht auf die Abse</w:t>
      </w:r>
      <w:r>
        <w:t>n</w:t>
      </w:r>
      <w:r>
        <w:t>dung, sondern auf den Zugang des Kündigungsschreibens an.</w:t>
      </w:r>
    </w:p>
    <w:p w:rsidR="00713D42" w:rsidRDefault="00713D42" w:rsidP="00713D42">
      <w:pPr>
        <w:pStyle w:val="Listenabsatz"/>
        <w:jc w:val="both"/>
      </w:pPr>
    </w:p>
    <w:p w:rsidR="009B5EE7" w:rsidRDefault="009B5EE7" w:rsidP="00EA75D5">
      <w:pPr>
        <w:pStyle w:val="Listenabsatz"/>
        <w:numPr>
          <w:ilvl w:val="0"/>
          <w:numId w:val="5"/>
        </w:numPr>
        <w:jc w:val="both"/>
      </w:pPr>
      <w:r>
        <w:t>M</w:t>
      </w:r>
      <w:r w:rsidRPr="009B5EE7">
        <w:t>ieter</w:t>
      </w:r>
      <w:r>
        <w:t xml:space="preserve"> und Vermieter verzichten bis zum </w:t>
      </w:r>
      <w:r w:rsidR="005D60CB">
        <w:t>dd</w:t>
      </w:r>
      <w:r w:rsidR="006318CF">
        <w:t>.</w:t>
      </w:r>
      <w:r w:rsidR="005D60CB">
        <w:t>mm</w:t>
      </w:r>
      <w:r w:rsidR="006318CF">
        <w:t>.</w:t>
      </w:r>
      <w:r w:rsidR="005D60CB">
        <w:t>yyyy</w:t>
      </w:r>
      <w:r>
        <w:t xml:space="preserve"> auf Ihr </w:t>
      </w:r>
      <w:r w:rsidR="00D83FB6">
        <w:t xml:space="preserve">ordentliches </w:t>
      </w:r>
      <w:r>
        <w:t>Kündigungsrecht</w:t>
      </w:r>
      <w:r w:rsidR="006318CF">
        <w:t>.</w:t>
      </w:r>
    </w:p>
    <w:p w:rsidR="009B5EE7" w:rsidRDefault="009B5EE7" w:rsidP="00EA75D5">
      <w:pPr>
        <w:pStyle w:val="Listenabsatz"/>
        <w:jc w:val="both"/>
      </w:pPr>
    </w:p>
    <w:p w:rsidR="009B5EE7" w:rsidRPr="006318CF" w:rsidRDefault="00D83FB6" w:rsidP="00EA75D5">
      <w:pPr>
        <w:jc w:val="center"/>
        <w:rPr>
          <w:b/>
        </w:rPr>
      </w:pPr>
      <w:r>
        <w:rPr>
          <w:b/>
        </w:rPr>
        <w:t>§ 3</w:t>
      </w:r>
      <w:r w:rsidR="009B5EE7" w:rsidRPr="006318CF">
        <w:rPr>
          <w:b/>
        </w:rPr>
        <w:t xml:space="preserve"> Mietzins und Nebenkosten / Einzugsermächtigung</w:t>
      </w:r>
    </w:p>
    <w:p w:rsidR="009B5EE7" w:rsidRDefault="009B5EE7" w:rsidP="00EA75D5">
      <w:pPr>
        <w:pStyle w:val="Listenabsatz"/>
        <w:numPr>
          <w:ilvl w:val="0"/>
          <w:numId w:val="6"/>
        </w:numPr>
        <w:jc w:val="both"/>
      </w:pPr>
      <w:r>
        <w:t>Die monatliche Miete beträgt:</w:t>
      </w:r>
    </w:p>
    <w:p w:rsidR="00B438BB" w:rsidRDefault="00B438BB" w:rsidP="00EA75D5">
      <w:pPr>
        <w:ind w:left="360"/>
        <w:jc w:val="both"/>
      </w:pPr>
    </w:p>
    <w:tbl>
      <w:tblPr>
        <w:tblStyle w:val="Tabellenraster"/>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3651"/>
      </w:tblGrid>
      <w:tr w:rsidR="00B438BB" w:rsidTr="00B438BB">
        <w:tc>
          <w:tcPr>
            <w:tcW w:w="4917" w:type="dxa"/>
          </w:tcPr>
          <w:p w:rsidR="00B438BB" w:rsidRDefault="00B438BB" w:rsidP="00EA75D5">
            <w:pPr>
              <w:pStyle w:val="Listenabsatz"/>
              <w:ind w:left="0"/>
              <w:jc w:val="both"/>
            </w:pPr>
            <w:r>
              <w:t>Grundmiete</w:t>
            </w:r>
          </w:p>
        </w:tc>
        <w:tc>
          <w:tcPr>
            <w:tcW w:w="3651" w:type="dxa"/>
          </w:tcPr>
          <w:p w:rsidR="00B438BB" w:rsidRDefault="00524205" w:rsidP="00EA75D5">
            <w:pPr>
              <w:pStyle w:val="Listenabsatz"/>
              <w:ind w:left="0"/>
              <w:jc w:val="right"/>
            </w:pPr>
            <w:r>
              <w:t>0</w:t>
            </w:r>
            <w:r w:rsidR="00B438BB">
              <w:t>,00 €</w:t>
            </w:r>
          </w:p>
        </w:tc>
      </w:tr>
      <w:tr w:rsidR="00B438BB" w:rsidTr="00B438BB">
        <w:tc>
          <w:tcPr>
            <w:tcW w:w="4917" w:type="dxa"/>
          </w:tcPr>
          <w:p w:rsidR="00B438BB" w:rsidRDefault="00B438BB" w:rsidP="00EA75D5">
            <w:pPr>
              <w:jc w:val="both"/>
            </w:pPr>
            <w:r>
              <w:t>Betriebskostenvorauszahlung, gem</w:t>
            </w:r>
            <w:r w:rsidR="007972EA">
              <w:t>.</w:t>
            </w:r>
            <w:r>
              <w:t xml:space="preserve"> Abs. 2,</w:t>
            </w:r>
            <w:r w:rsidR="007972EA">
              <w:t xml:space="preserve"> </w:t>
            </w:r>
            <w:r>
              <w:t>3 und 4</w:t>
            </w:r>
          </w:p>
        </w:tc>
        <w:tc>
          <w:tcPr>
            <w:tcW w:w="3651" w:type="dxa"/>
          </w:tcPr>
          <w:p w:rsidR="00B438BB" w:rsidRDefault="005D60CB" w:rsidP="00EA75D5">
            <w:pPr>
              <w:pStyle w:val="Listenabsatz"/>
              <w:ind w:left="0"/>
              <w:jc w:val="right"/>
            </w:pPr>
            <w:r>
              <w:t>0</w:t>
            </w:r>
            <w:r w:rsidR="00B438BB">
              <w:t>,00 €</w:t>
            </w:r>
          </w:p>
        </w:tc>
      </w:tr>
      <w:tr w:rsidR="00B438BB" w:rsidTr="00B438BB">
        <w:tc>
          <w:tcPr>
            <w:tcW w:w="4917" w:type="dxa"/>
          </w:tcPr>
          <w:p w:rsidR="00B438BB" w:rsidRPr="00EA75D5" w:rsidRDefault="00B438BB" w:rsidP="00EA75D5">
            <w:pPr>
              <w:pStyle w:val="Listenabsatz"/>
              <w:ind w:left="0"/>
              <w:jc w:val="both"/>
              <w:rPr>
                <w:b/>
              </w:rPr>
            </w:pPr>
          </w:p>
          <w:p w:rsidR="00B438BB" w:rsidRPr="00EA75D5" w:rsidRDefault="00B438BB" w:rsidP="00EA75D5">
            <w:pPr>
              <w:pStyle w:val="Listenabsatz"/>
              <w:ind w:left="0"/>
              <w:jc w:val="both"/>
              <w:rPr>
                <w:b/>
              </w:rPr>
            </w:pPr>
            <w:r w:rsidRPr="00EA75D5">
              <w:rPr>
                <w:b/>
              </w:rPr>
              <w:t>Monatlich zu zahlende Gesamtmiete</w:t>
            </w:r>
          </w:p>
        </w:tc>
        <w:tc>
          <w:tcPr>
            <w:tcW w:w="3651" w:type="dxa"/>
          </w:tcPr>
          <w:p w:rsidR="00B438BB" w:rsidRPr="00EA75D5" w:rsidRDefault="00B438BB" w:rsidP="00EA75D5">
            <w:pPr>
              <w:pStyle w:val="Listenabsatz"/>
              <w:ind w:left="0"/>
              <w:jc w:val="right"/>
              <w:rPr>
                <w:b/>
              </w:rPr>
            </w:pPr>
          </w:p>
          <w:p w:rsidR="00B438BB" w:rsidRPr="00EA75D5" w:rsidRDefault="005D60CB" w:rsidP="00D83FB6">
            <w:pPr>
              <w:pStyle w:val="Listenabsatz"/>
              <w:ind w:left="0"/>
              <w:jc w:val="right"/>
              <w:rPr>
                <w:b/>
              </w:rPr>
            </w:pPr>
            <w:r>
              <w:rPr>
                <w:b/>
              </w:rPr>
              <w:t>0</w:t>
            </w:r>
            <w:r w:rsidR="00B438BB" w:rsidRPr="00EA75D5">
              <w:rPr>
                <w:b/>
              </w:rPr>
              <w:t>,00 €</w:t>
            </w:r>
          </w:p>
        </w:tc>
      </w:tr>
    </w:tbl>
    <w:p w:rsidR="00B10B46" w:rsidRDefault="00B10B46" w:rsidP="00EA75D5">
      <w:pPr>
        <w:jc w:val="both"/>
      </w:pPr>
    </w:p>
    <w:p w:rsidR="006E2CF3" w:rsidRDefault="006E2CF3" w:rsidP="004B37E3">
      <w:pPr>
        <w:ind w:left="360"/>
        <w:jc w:val="both"/>
      </w:pPr>
    </w:p>
    <w:p w:rsidR="00B10B46" w:rsidRDefault="00B10B46" w:rsidP="00EA75D5">
      <w:pPr>
        <w:pStyle w:val="Listenabsatz"/>
        <w:numPr>
          <w:ilvl w:val="0"/>
          <w:numId w:val="6"/>
        </w:numPr>
        <w:jc w:val="both"/>
      </w:pPr>
      <w:r>
        <w:t>Als Vorauszahlung für die Betriebskosten entsprechend der Betriebskostenverordnung zahlt der Mieter monatlich:</w:t>
      </w:r>
    </w:p>
    <w:p w:rsidR="00B10B46" w:rsidRDefault="00B10B46" w:rsidP="00EA75D5">
      <w:pPr>
        <w:pStyle w:val="Listenabsatz"/>
        <w:numPr>
          <w:ilvl w:val="0"/>
          <w:numId w:val="8"/>
        </w:numPr>
        <w:jc w:val="both"/>
      </w:pPr>
      <w:r>
        <w:lastRenderedPageBreak/>
        <w:t>Allgemeine Betriebskosten: laufende öffentliche Lasten des Grundstückes, Kosten der Wasserversorgung, Kosten zur Anmietung und Wartung von Wasserzählern, Kosten der Entwässerung und des Niederschlagswassers, Straßenreinigung und Müllabfuhr, Hausre</w:t>
      </w:r>
      <w:r>
        <w:t>i</w:t>
      </w:r>
      <w:r>
        <w:t>nigung und Ungezieferbekämpfung, Pflege des Gartens und der Grünanlagen, Beleuc</w:t>
      </w:r>
      <w:r>
        <w:t>h</w:t>
      </w:r>
      <w:r>
        <w:t>tung und allgemeiner Hausstrom, Kosten der Sach- und Haftpflichtversicherung, Hau</w:t>
      </w:r>
      <w:r>
        <w:t>s</w:t>
      </w:r>
      <w:r>
        <w:t>wart, Kabelanschluss oder Antennenanlage, Wartung der Lüfter, Kosten des Betriebs und der Wartung des Personen- oder Lastenaufzugs sowie sonstige Betriebskosten.</w:t>
      </w:r>
    </w:p>
    <w:p w:rsidR="00B10B46" w:rsidRDefault="00B10B46" w:rsidP="00EA75D5">
      <w:pPr>
        <w:jc w:val="both"/>
      </w:pPr>
    </w:p>
    <w:p w:rsidR="00B10B46" w:rsidRDefault="00B10B46" w:rsidP="00EA75D5">
      <w:pPr>
        <w:ind w:left="1068"/>
        <w:jc w:val="both"/>
      </w:pPr>
      <w:r>
        <w:t>Als sonstige Betriebskosten werden vereinbart (insofern diese Kosten anfallen), alle Wa</w:t>
      </w:r>
      <w:r>
        <w:t>r</w:t>
      </w:r>
      <w:r>
        <w:t>tung- und Betriebskosten die im Zusammenhang mit folgenden Positionen anfallen:</w:t>
      </w:r>
    </w:p>
    <w:p w:rsidR="002C4E31" w:rsidRDefault="002C4E31" w:rsidP="00EA75D5">
      <w:pPr>
        <w:ind w:left="1068"/>
        <w:jc w:val="both"/>
      </w:pPr>
    </w:p>
    <w:p w:rsidR="002C4E31" w:rsidRDefault="002C4E31" w:rsidP="00EA75D5">
      <w:pPr>
        <w:pStyle w:val="Listenabsatz"/>
        <w:numPr>
          <w:ilvl w:val="0"/>
          <w:numId w:val="9"/>
        </w:numPr>
        <w:jc w:val="both"/>
      </w:pPr>
      <w:r>
        <w:t>der Dachrinnenreinigung,</w:t>
      </w:r>
    </w:p>
    <w:p w:rsidR="002C4E31" w:rsidRDefault="002C4E31" w:rsidP="00EA75D5">
      <w:pPr>
        <w:pStyle w:val="Listenabsatz"/>
        <w:numPr>
          <w:ilvl w:val="0"/>
          <w:numId w:val="9"/>
        </w:numPr>
        <w:jc w:val="both"/>
      </w:pPr>
      <w:r>
        <w:t>den Feuerlöschgeräten (einschließlich dem Austausch des Löschmittels),</w:t>
      </w:r>
    </w:p>
    <w:p w:rsidR="002C4E31" w:rsidRDefault="002C4E31" w:rsidP="00EA75D5">
      <w:pPr>
        <w:pStyle w:val="Listenabsatz"/>
        <w:numPr>
          <w:ilvl w:val="0"/>
          <w:numId w:val="9"/>
        </w:numPr>
        <w:jc w:val="both"/>
      </w:pPr>
      <w:r>
        <w:t>den Brandschutzeinrichtungen, Rauchmeldern, Rauchabzügen und Sprinkleranlagen,</w:t>
      </w:r>
    </w:p>
    <w:p w:rsidR="002C4E31" w:rsidRDefault="002C4E31" w:rsidP="00EA75D5">
      <w:pPr>
        <w:pStyle w:val="Listenabsatz"/>
        <w:numPr>
          <w:ilvl w:val="0"/>
          <w:numId w:val="9"/>
        </w:numPr>
        <w:jc w:val="both"/>
      </w:pPr>
      <w:r>
        <w:t>der Blitzschutzanlagen (einschließlich Prüfung und TÜV – Abnahme),</w:t>
      </w:r>
    </w:p>
    <w:p w:rsidR="002C4E31" w:rsidRDefault="002C4E31" w:rsidP="00EA75D5">
      <w:pPr>
        <w:pStyle w:val="Listenabsatz"/>
        <w:numPr>
          <w:ilvl w:val="0"/>
          <w:numId w:val="9"/>
        </w:numPr>
        <w:jc w:val="both"/>
      </w:pPr>
      <w:r>
        <w:t>den Rückstausicherungen,</w:t>
      </w:r>
    </w:p>
    <w:p w:rsidR="002C4E31" w:rsidRDefault="002C4E31" w:rsidP="00EA75D5">
      <w:pPr>
        <w:pStyle w:val="Listenabsatz"/>
        <w:numPr>
          <w:ilvl w:val="0"/>
          <w:numId w:val="9"/>
        </w:numPr>
        <w:jc w:val="both"/>
      </w:pPr>
      <w:r>
        <w:t>den folgenden Gemeinschaftsanlagen: Einrichtung für Wäschepflege</w:t>
      </w:r>
    </w:p>
    <w:p w:rsidR="002C4E31" w:rsidRDefault="002C4E31" w:rsidP="00EA75D5">
      <w:pPr>
        <w:pStyle w:val="Listenabsatz"/>
        <w:numPr>
          <w:ilvl w:val="0"/>
          <w:numId w:val="9"/>
        </w:numPr>
        <w:jc w:val="both"/>
      </w:pPr>
      <w:r>
        <w:t>Druck – und Dichtigkeitsprüfungen von Gasleitungen,</w:t>
      </w:r>
    </w:p>
    <w:p w:rsidR="002C4E31" w:rsidRDefault="002C4E31" w:rsidP="00EA75D5">
      <w:pPr>
        <w:pStyle w:val="Listenabsatz"/>
        <w:numPr>
          <w:ilvl w:val="0"/>
          <w:numId w:val="9"/>
        </w:numPr>
        <w:jc w:val="both"/>
      </w:pPr>
      <w:r>
        <w:t>E-Check-Kosten,</w:t>
      </w:r>
    </w:p>
    <w:p w:rsidR="002C4E31" w:rsidRDefault="002C4E31" w:rsidP="00EA75D5">
      <w:pPr>
        <w:pStyle w:val="Listenabsatz"/>
        <w:numPr>
          <w:ilvl w:val="0"/>
          <w:numId w:val="9"/>
        </w:numPr>
        <w:jc w:val="both"/>
      </w:pPr>
      <w:r>
        <w:t>Wartung der Fenster,</w:t>
      </w:r>
    </w:p>
    <w:p w:rsidR="002C4E31" w:rsidRDefault="002C4E31" w:rsidP="00EA75D5">
      <w:pPr>
        <w:pStyle w:val="Listenabsatz"/>
        <w:numPr>
          <w:ilvl w:val="0"/>
          <w:numId w:val="9"/>
        </w:numPr>
        <w:jc w:val="both"/>
      </w:pPr>
      <w:r>
        <w:t>Untersuchung der Wasserinstallation entsprechend der Trinkwasserverordnung</w:t>
      </w:r>
    </w:p>
    <w:p w:rsidR="00B3672C" w:rsidRDefault="00B3672C" w:rsidP="00EA75D5">
      <w:pPr>
        <w:jc w:val="both"/>
      </w:pPr>
    </w:p>
    <w:p w:rsidR="00B3672C" w:rsidRDefault="00B3672C" w:rsidP="00EA75D5">
      <w:pPr>
        <w:pStyle w:val="Listenabsatz"/>
        <w:numPr>
          <w:ilvl w:val="0"/>
          <w:numId w:val="8"/>
        </w:numPr>
        <w:jc w:val="both"/>
      </w:pPr>
      <w:r>
        <w:t>Kosten des Betriebs der Heizung und Warmwasserversorgung einschließlich der Abgasa</w:t>
      </w:r>
      <w:r>
        <w:t>n</w:t>
      </w:r>
      <w:r>
        <w:t>lage, Kosten der Schornsteinfegerreinigung, Reinigung und Wartung der Heizungs- und Kesselanlage, Kosten der Anmietung und Wartung von Heizverbrauchs- und Warmwa</w:t>
      </w:r>
      <w:r>
        <w:t>s</w:t>
      </w:r>
      <w:r>
        <w:t>serzählern, Heizkostenabrechnung.</w:t>
      </w:r>
    </w:p>
    <w:p w:rsidR="007972EA" w:rsidRDefault="007972EA" w:rsidP="00EA75D5">
      <w:pPr>
        <w:pStyle w:val="Listenabsatz"/>
        <w:ind w:left="1068"/>
        <w:jc w:val="both"/>
      </w:pPr>
    </w:p>
    <w:p w:rsidR="00B3672C" w:rsidRDefault="00B3672C" w:rsidP="00EA75D5">
      <w:pPr>
        <w:pStyle w:val="Listenabsatz"/>
        <w:numPr>
          <w:ilvl w:val="0"/>
          <w:numId w:val="6"/>
        </w:numPr>
        <w:jc w:val="both"/>
      </w:pPr>
      <w:r>
        <w:t>Soweit nachfolgend nichts anderes festgelegt wird, erfolgt die Abrechnung der unter a) g</w:t>
      </w:r>
      <w:r>
        <w:t>e</w:t>
      </w:r>
      <w:r>
        <w:t>nannten Betriebskosten für das Kalenderjahr nach dem Verhältnis der Wohnfläche</w:t>
      </w:r>
      <w:r w:rsidR="007972EA">
        <w:t xml:space="preserve"> </w:t>
      </w:r>
      <w:r>
        <w:t>(Für B</w:t>
      </w:r>
      <w:r>
        <w:t>e</w:t>
      </w:r>
      <w:r>
        <w:t xml:space="preserve">triebs- und Nebenkostenabrechnung wird eine Wohnfläche von ca. </w:t>
      </w:r>
      <w:r w:rsidR="005D60CB">
        <w:t>xx</w:t>
      </w:r>
      <w:r>
        <w:t>,</w:t>
      </w:r>
      <w:r w:rsidR="005D60CB">
        <w:t>xx</w:t>
      </w:r>
      <w:r w:rsidR="007972EA">
        <w:t xml:space="preserve"> </w:t>
      </w:r>
      <w:r>
        <w:t>m² zu Grunde g</w:t>
      </w:r>
      <w:r>
        <w:t>e</w:t>
      </w:r>
      <w:r>
        <w:t>legt).</w:t>
      </w:r>
    </w:p>
    <w:p w:rsidR="00B3672C" w:rsidRDefault="00B3672C" w:rsidP="00EA75D5">
      <w:pPr>
        <w:pStyle w:val="Listenabsatz"/>
        <w:jc w:val="both"/>
      </w:pPr>
    </w:p>
    <w:p w:rsidR="00B3672C" w:rsidRDefault="00B3672C" w:rsidP="00EA75D5">
      <w:pPr>
        <w:pStyle w:val="Listenabsatz"/>
        <w:jc w:val="both"/>
      </w:pPr>
      <w:r>
        <w:t>Sind Messgeräte für die Kostenerfassung vorhanden, so erfolgt die Abrechnung entspr</w:t>
      </w:r>
      <w:r>
        <w:t>e</w:t>
      </w:r>
      <w:r>
        <w:t>chenden der Messwerte.</w:t>
      </w:r>
    </w:p>
    <w:p w:rsidR="00B3672C" w:rsidRDefault="00B3672C" w:rsidP="00EA75D5">
      <w:pPr>
        <w:pStyle w:val="Listenabsatz"/>
        <w:jc w:val="both"/>
      </w:pPr>
    </w:p>
    <w:p w:rsidR="00B3672C" w:rsidRDefault="00B3672C" w:rsidP="00EA75D5">
      <w:pPr>
        <w:pStyle w:val="Listenabsatz"/>
        <w:jc w:val="both"/>
      </w:pPr>
      <w:r>
        <w:t>Die Verteilung der unter b) aufgeführten Kosten für Heizung und Warmwasserversorgung wird von einer Heizkostenabrechnungsfirma entsprechend den gesetzlichen Bestimmungen berechnet.</w:t>
      </w:r>
    </w:p>
    <w:p w:rsidR="00D63F37" w:rsidRDefault="00D63F37" w:rsidP="00EA75D5">
      <w:pPr>
        <w:pStyle w:val="Listenabsatz"/>
        <w:jc w:val="both"/>
      </w:pPr>
    </w:p>
    <w:p w:rsidR="00B3672C" w:rsidRDefault="009D7F8E" w:rsidP="00EA75D5">
      <w:pPr>
        <w:pStyle w:val="Listenabsatz"/>
        <w:numPr>
          <w:ilvl w:val="0"/>
          <w:numId w:val="6"/>
        </w:numPr>
        <w:jc w:val="both"/>
      </w:pPr>
      <w:r>
        <w:t>Die Heiz-, Warmwasser- und sonstigen Nebenkosten wird der Vermieter für jedes Wir</w:t>
      </w:r>
      <w:r>
        <w:t>t</w:t>
      </w:r>
      <w:r>
        <w:t>schaftsjahr im Laufe des folgenden Wirtschaftsjahres abrechnen. Sollte eine Nachzahlung e</w:t>
      </w:r>
      <w:r>
        <w:t>r</w:t>
      </w:r>
      <w:r>
        <w:t>forderlich werden, kann der Vermieter die Vorauszahlungen für das laufende und kommende Jahr angemessen erhöhen.</w:t>
      </w:r>
    </w:p>
    <w:p w:rsidR="009D7F8E" w:rsidRDefault="009D7F8E" w:rsidP="00EA75D5">
      <w:pPr>
        <w:pStyle w:val="Listenabsatz"/>
        <w:jc w:val="both"/>
      </w:pPr>
    </w:p>
    <w:p w:rsidR="009D7F8E" w:rsidRDefault="009D7F8E" w:rsidP="00EA75D5">
      <w:pPr>
        <w:pStyle w:val="Listenabsatz"/>
        <w:jc w:val="both"/>
      </w:pPr>
      <w:r>
        <w:t>Zieht der Mieter vor Ende eines Abrechnungszeitraumes aus, so wird seine Abrechnung erst mit der nächsten Gesamtrechnung fällig. In diesem Fall trägt der Mieter die Kosten der Zw</w:t>
      </w:r>
      <w:r>
        <w:t>i</w:t>
      </w:r>
      <w:r>
        <w:t>schenablesung und der Berechnung der Aufteilung.</w:t>
      </w:r>
    </w:p>
    <w:p w:rsidR="005658F2" w:rsidRDefault="005658F2" w:rsidP="00475289">
      <w:pPr>
        <w:pStyle w:val="Listenabsatz"/>
      </w:pPr>
    </w:p>
    <w:p w:rsidR="0002137B" w:rsidRDefault="009D7F8E" w:rsidP="00EA75D5">
      <w:pPr>
        <w:pStyle w:val="Listenabsatz"/>
        <w:numPr>
          <w:ilvl w:val="0"/>
          <w:numId w:val="6"/>
        </w:numPr>
        <w:jc w:val="both"/>
      </w:pPr>
      <w:r>
        <w:t>Werden öffentliche Abgaben neu eingeführt oder entstehen Betriebskosten neu, so können diese vom Vermieter im Rahmen der gesetzlichen Vorschriften umgelegt und angemessene Vorauszahlungen festgelegt werden.</w:t>
      </w:r>
    </w:p>
    <w:p w:rsidR="005658F2" w:rsidRDefault="005658F2" w:rsidP="00EA75D5">
      <w:pPr>
        <w:pStyle w:val="Listenabsatz"/>
        <w:jc w:val="both"/>
      </w:pPr>
    </w:p>
    <w:p w:rsidR="009D7F8E" w:rsidRDefault="0002137B" w:rsidP="00EA75D5">
      <w:pPr>
        <w:pStyle w:val="Listenabsatz"/>
        <w:numPr>
          <w:ilvl w:val="0"/>
          <w:numId w:val="6"/>
        </w:numPr>
        <w:jc w:val="both"/>
      </w:pPr>
      <w:r>
        <w:t>Die Nebenkostenvorauszahlungen sind jeweils nach den Ergebnissen der vorjährigen A</w:t>
      </w:r>
      <w:r>
        <w:t>b</w:t>
      </w:r>
      <w:r w:rsidR="00BC3655">
        <w:t xml:space="preserve">rechnung </w:t>
      </w:r>
      <w:r>
        <w:t>entsprechend anzupassen.</w:t>
      </w:r>
    </w:p>
    <w:p w:rsidR="0002137B" w:rsidRDefault="0002137B" w:rsidP="0002137B"/>
    <w:p w:rsidR="0002137B" w:rsidRPr="00EA75D5" w:rsidRDefault="00D83FB6" w:rsidP="00EA75D5">
      <w:pPr>
        <w:jc w:val="center"/>
        <w:rPr>
          <w:b/>
        </w:rPr>
      </w:pPr>
      <w:r>
        <w:rPr>
          <w:b/>
        </w:rPr>
        <w:t>§ 4</w:t>
      </w:r>
      <w:r w:rsidR="0002137B" w:rsidRPr="00EA75D5">
        <w:rPr>
          <w:b/>
        </w:rPr>
        <w:t xml:space="preserve"> Zahlung der Miete / Einzugsermächtigung</w:t>
      </w:r>
    </w:p>
    <w:p w:rsidR="0002137B" w:rsidRDefault="0002137B" w:rsidP="00475289">
      <w:pPr>
        <w:pStyle w:val="Listenabsatz"/>
        <w:numPr>
          <w:ilvl w:val="0"/>
          <w:numId w:val="10"/>
        </w:numPr>
      </w:pPr>
      <w:r>
        <w:t>Der Mietzins sowie die Vorauszahlungen für die Nebenkosten sind monatlich im Voraus, sp</w:t>
      </w:r>
      <w:r>
        <w:t>ä</w:t>
      </w:r>
      <w:r>
        <w:t>testen bis zum 3. Kalendertag des laufenden Monats fällig.</w:t>
      </w:r>
    </w:p>
    <w:p w:rsidR="00352CE2" w:rsidRDefault="00352CE2" w:rsidP="00352CE2">
      <w:pPr>
        <w:pStyle w:val="Listenabsatz"/>
      </w:pPr>
    </w:p>
    <w:p w:rsidR="0002137B" w:rsidRDefault="00352CE2" w:rsidP="0002137B">
      <w:pPr>
        <w:pStyle w:val="Listenabsatz"/>
        <w:numPr>
          <w:ilvl w:val="0"/>
          <w:numId w:val="10"/>
        </w:numPr>
      </w:pPr>
      <w:r>
        <w:rPr>
          <w:rFonts w:ascii="MS Mincho" w:eastAsia="MS Mincho" w:hAnsi="MS Mincho" w:cs="MS Mincho" w:hint="eastAsia"/>
        </w:rPr>
        <w:t>☐</w:t>
      </w:r>
      <w:r>
        <w:rPr>
          <w:rFonts w:ascii="MS Mincho" w:eastAsia="MS Mincho" w:hAnsi="MS Mincho" w:cs="MS Mincho"/>
        </w:rPr>
        <w:t xml:space="preserve"> </w:t>
      </w:r>
      <w:r w:rsidR="0002137B" w:rsidRPr="0002137B">
        <w:t xml:space="preserve">Der </w:t>
      </w:r>
      <w:r w:rsidR="0002137B">
        <w:t>Mieter erteilt keine Einzugsermächtigung.</w:t>
      </w:r>
    </w:p>
    <w:p w:rsidR="0002137B" w:rsidRDefault="0002137B" w:rsidP="0002137B">
      <w:pPr>
        <w:pStyle w:val="Listenabsatz"/>
      </w:pPr>
    </w:p>
    <w:p w:rsidR="0002137B" w:rsidRDefault="0002137B" w:rsidP="00EA75D5">
      <w:pPr>
        <w:pStyle w:val="Listenabsatz"/>
        <w:jc w:val="both"/>
      </w:pPr>
      <w:r>
        <w:rPr>
          <w:rFonts w:ascii="MS Mincho" w:eastAsia="MS Mincho" w:hAnsi="MS Mincho" w:cs="MS Mincho" w:hint="eastAsia"/>
        </w:rPr>
        <w:t>☐</w:t>
      </w:r>
      <w:r>
        <w:rPr>
          <w:rFonts w:ascii="MS Mincho" w:eastAsia="MS Mincho" w:hAnsi="MS Mincho" w:cs="MS Mincho"/>
        </w:rPr>
        <w:t xml:space="preserve"> </w:t>
      </w:r>
      <w:r w:rsidRPr="0002137B">
        <w:t xml:space="preserve">Der </w:t>
      </w:r>
      <w:r>
        <w:t>Mieter erteilt dem Vermieter und dessen Verwalter die jederzeit widerruflich Ei</w:t>
      </w:r>
      <w:r>
        <w:t>n</w:t>
      </w:r>
      <w:r>
        <w:t>zugsermächtigung zum Einzug der Zahlungen von Miete und NK von seinem Konto:</w:t>
      </w:r>
    </w:p>
    <w:p w:rsidR="008515A0" w:rsidRDefault="008515A0" w:rsidP="00EA75D5">
      <w:pPr>
        <w:pStyle w:val="Listenabsatz"/>
        <w:jc w:val="both"/>
      </w:pPr>
    </w:p>
    <w:tbl>
      <w:tblPr>
        <w:tblStyle w:val="Tabellenraster"/>
        <w:tblW w:w="0" w:type="auto"/>
        <w:jc w:val="center"/>
        <w:tblInd w:w="3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
        <w:gridCol w:w="3261"/>
      </w:tblGrid>
      <w:tr w:rsidR="008515A0" w:rsidTr="008515A0">
        <w:trPr>
          <w:jc w:val="center"/>
        </w:trPr>
        <w:tc>
          <w:tcPr>
            <w:tcW w:w="849" w:type="dxa"/>
          </w:tcPr>
          <w:p w:rsidR="008515A0" w:rsidRPr="008515A0" w:rsidRDefault="008515A0" w:rsidP="00EA75D5">
            <w:pPr>
              <w:jc w:val="both"/>
            </w:pPr>
            <w:r>
              <w:t>IBAN:</w:t>
            </w:r>
          </w:p>
        </w:tc>
        <w:tc>
          <w:tcPr>
            <w:tcW w:w="3261" w:type="dxa"/>
            <w:tcBorders>
              <w:bottom w:val="single" w:sz="4" w:space="0" w:color="auto"/>
            </w:tcBorders>
          </w:tcPr>
          <w:p w:rsidR="008515A0" w:rsidRDefault="008515A0" w:rsidP="00EA75D5">
            <w:pPr>
              <w:jc w:val="both"/>
            </w:pPr>
          </w:p>
        </w:tc>
      </w:tr>
      <w:tr w:rsidR="008515A0" w:rsidTr="008515A0">
        <w:trPr>
          <w:jc w:val="center"/>
        </w:trPr>
        <w:tc>
          <w:tcPr>
            <w:tcW w:w="849" w:type="dxa"/>
          </w:tcPr>
          <w:p w:rsidR="008515A0" w:rsidRDefault="008515A0" w:rsidP="00EA75D5">
            <w:pPr>
              <w:jc w:val="both"/>
            </w:pPr>
            <w:r>
              <w:t>bei:</w:t>
            </w:r>
          </w:p>
        </w:tc>
        <w:tc>
          <w:tcPr>
            <w:tcW w:w="3261" w:type="dxa"/>
            <w:tcBorders>
              <w:top w:val="single" w:sz="4" w:space="0" w:color="auto"/>
              <w:bottom w:val="single" w:sz="4" w:space="0" w:color="auto"/>
            </w:tcBorders>
          </w:tcPr>
          <w:p w:rsidR="008515A0" w:rsidRDefault="008515A0" w:rsidP="00EA75D5">
            <w:pPr>
              <w:jc w:val="both"/>
            </w:pPr>
          </w:p>
        </w:tc>
      </w:tr>
      <w:tr w:rsidR="008515A0" w:rsidTr="008515A0">
        <w:trPr>
          <w:jc w:val="center"/>
        </w:trPr>
        <w:tc>
          <w:tcPr>
            <w:tcW w:w="849" w:type="dxa"/>
          </w:tcPr>
          <w:p w:rsidR="008515A0" w:rsidRDefault="008515A0" w:rsidP="00EA75D5">
            <w:pPr>
              <w:jc w:val="both"/>
            </w:pPr>
            <w:r>
              <w:t>BIC:</w:t>
            </w:r>
          </w:p>
        </w:tc>
        <w:tc>
          <w:tcPr>
            <w:tcW w:w="3261" w:type="dxa"/>
            <w:tcBorders>
              <w:top w:val="single" w:sz="4" w:space="0" w:color="auto"/>
              <w:bottom w:val="single" w:sz="4" w:space="0" w:color="auto"/>
            </w:tcBorders>
          </w:tcPr>
          <w:p w:rsidR="008515A0" w:rsidRDefault="008515A0" w:rsidP="00EA75D5">
            <w:pPr>
              <w:jc w:val="both"/>
            </w:pPr>
          </w:p>
        </w:tc>
      </w:tr>
    </w:tbl>
    <w:p w:rsidR="0002137B" w:rsidRDefault="0002137B" w:rsidP="00EA75D5">
      <w:pPr>
        <w:ind w:left="708"/>
        <w:jc w:val="both"/>
      </w:pPr>
    </w:p>
    <w:p w:rsidR="00F90026" w:rsidRDefault="00F90026" w:rsidP="00EA75D5">
      <w:pPr>
        <w:ind w:left="708"/>
        <w:jc w:val="both"/>
      </w:pPr>
      <w:r>
        <w:t>Die aus der Nebenkostenabrechnung entstehenden Zahlungen werden ebenfalls mit diesem Konto verrechnet.</w:t>
      </w:r>
    </w:p>
    <w:p w:rsidR="00D614FB" w:rsidRDefault="00D614FB" w:rsidP="00EA75D5">
      <w:pPr>
        <w:ind w:left="708"/>
        <w:jc w:val="both"/>
      </w:pPr>
    </w:p>
    <w:p w:rsidR="00F90026" w:rsidRDefault="00F90026" w:rsidP="00EA75D5">
      <w:pPr>
        <w:pStyle w:val="Listenabsatz"/>
        <w:numPr>
          <w:ilvl w:val="0"/>
          <w:numId w:val="10"/>
        </w:numPr>
        <w:ind w:left="708"/>
        <w:jc w:val="both"/>
      </w:pPr>
      <w:r>
        <w:t>Erteilt der Mieter keine Einzugsermächtigung oder widerruft er diese, so verpflichtet</w:t>
      </w:r>
      <w:r w:rsidR="00D614FB">
        <w:t xml:space="preserve"> er sich, die Miete bis zum 3. d</w:t>
      </w:r>
      <w:r>
        <w:t>es Monats für den laufenden Monat auf das Konto des</w:t>
      </w:r>
      <w:r w:rsidR="008515A0" w:rsidRPr="008515A0">
        <w:t xml:space="preserve"> </w:t>
      </w:r>
      <w:r w:rsidR="008515A0" w:rsidRPr="00F90026">
        <w:t>Vermieters</w:t>
      </w:r>
      <w:r w:rsidR="008515A0">
        <w:t xml:space="preserve"> </w:t>
      </w:r>
      <w:r>
        <w:t>u</w:t>
      </w:r>
      <w:r>
        <w:t>n</w:t>
      </w:r>
      <w:r>
        <w:t>ter Ang</w:t>
      </w:r>
      <w:r w:rsidR="00D614FB">
        <w:t>abe der Wohnungsnummer und des N</w:t>
      </w:r>
      <w:r>
        <w:t>amens des Mieters einzuzahlen. Dies ist derzeit das Konto:</w:t>
      </w:r>
    </w:p>
    <w:tbl>
      <w:tblPr>
        <w:tblStyle w:val="Tabellenraster"/>
        <w:tblW w:w="0" w:type="auto"/>
        <w:jc w:val="center"/>
        <w:tblInd w:w="3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
        <w:gridCol w:w="3261"/>
      </w:tblGrid>
      <w:tr w:rsidR="008515A0" w:rsidTr="007822F2">
        <w:trPr>
          <w:jc w:val="center"/>
        </w:trPr>
        <w:tc>
          <w:tcPr>
            <w:tcW w:w="849" w:type="dxa"/>
          </w:tcPr>
          <w:p w:rsidR="008515A0" w:rsidRPr="008515A0" w:rsidRDefault="008515A0" w:rsidP="007822F2">
            <w:r>
              <w:t>IBAN:</w:t>
            </w:r>
          </w:p>
        </w:tc>
        <w:tc>
          <w:tcPr>
            <w:tcW w:w="3261" w:type="dxa"/>
            <w:tcBorders>
              <w:bottom w:val="single" w:sz="4" w:space="0" w:color="auto"/>
            </w:tcBorders>
          </w:tcPr>
          <w:p w:rsidR="008515A0" w:rsidRDefault="008515A0" w:rsidP="007822F2"/>
        </w:tc>
      </w:tr>
      <w:tr w:rsidR="008515A0" w:rsidTr="007822F2">
        <w:trPr>
          <w:jc w:val="center"/>
        </w:trPr>
        <w:tc>
          <w:tcPr>
            <w:tcW w:w="849" w:type="dxa"/>
          </w:tcPr>
          <w:p w:rsidR="008515A0" w:rsidRDefault="008515A0" w:rsidP="007822F2">
            <w:r>
              <w:t>bei:</w:t>
            </w:r>
          </w:p>
        </w:tc>
        <w:tc>
          <w:tcPr>
            <w:tcW w:w="3261" w:type="dxa"/>
            <w:tcBorders>
              <w:top w:val="single" w:sz="4" w:space="0" w:color="auto"/>
              <w:bottom w:val="single" w:sz="4" w:space="0" w:color="auto"/>
            </w:tcBorders>
          </w:tcPr>
          <w:p w:rsidR="008515A0" w:rsidRDefault="008515A0" w:rsidP="007822F2"/>
        </w:tc>
      </w:tr>
      <w:tr w:rsidR="008515A0" w:rsidTr="007822F2">
        <w:trPr>
          <w:jc w:val="center"/>
        </w:trPr>
        <w:tc>
          <w:tcPr>
            <w:tcW w:w="849" w:type="dxa"/>
          </w:tcPr>
          <w:p w:rsidR="008515A0" w:rsidRDefault="008515A0" w:rsidP="007822F2">
            <w:r>
              <w:t>BIC:</w:t>
            </w:r>
          </w:p>
        </w:tc>
        <w:tc>
          <w:tcPr>
            <w:tcW w:w="3261" w:type="dxa"/>
            <w:tcBorders>
              <w:top w:val="single" w:sz="4" w:space="0" w:color="auto"/>
              <w:bottom w:val="single" w:sz="4" w:space="0" w:color="auto"/>
            </w:tcBorders>
          </w:tcPr>
          <w:p w:rsidR="008515A0" w:rsidRDefault="008515A0" w:rsidP="007822F2"/>
        </w:tc>
      </w:tr>
    </w:tbl>
    <w:p w:rsidR="00F90026" w:rsidRDefault="00F90026" w:rsidP="00F90026"/>
    <w:p w:rsidR="00F90026" w:rsidRDefault="00F90026" w:rsidP="002A0F36">
      <w:pPr>
        <w:pStyle w:val="Listenabsatz"/>
        <w:numPr>
          <w:ilvl w:val="0"/>
          <w:numId w:val="10"/>
        </w:numPr>
        <w:jc w:val="both"/>
      </w:pPr>
      <w:r>
        <w:t>Kommt der Mieter seinen Zahlungsverpflichtungen nicht ordnungsgemäß nach, so entstehen ihm 6,00</w:t>
      </w:r>
      <w:r w:rsidR="00EA75D5">
        <w:t xml:space="preserve"> </w:t>
      </w:r>
      <w:r>
        <w:t>€ pauschalierte Mahnkosten. Bleibt der Mieter nach dieser Mahnung weiterhin in Zahlungsverzug, haftet er für sämtliche weitere Kosten.</w:t>
      </w:r>
    </w:p>
    <w:p w:rsidR="00713D42" w:rsidRDefault="00713D42">
      <w:r>
        <w:br w:type="page"/>
      </w:r>
    </w:p>
    <w:p w:rsidR="00F90026" w:rsidRDefault="00F90026" w:rsidP="00F90026"/>
    <w:p w:rsidR="00F90026" w:rsidRPr="002A0F36" w:rsidRDefault="00D83FB6" w:rsidP="002A0F36">
      <w:pPr>
        <w:jc w:val="center"/>
        <w:rPr>
          <w:b/>
        </w:rPr>
      </w:pPr>
      <w:r>
        <w:rPr>
          <w:b/>
        </w:rPr>
        <w:t>§ 5</w:t>
      </w:r>
      <w:r w:rsidR="00F90026" w:rsidRPr="002A0F36">
        <w:rPr>
          <w:b/>
        </w:rPr>
        <w:t xml:space="preserve"> Kaution</w:t>
      </w:r>
    </w:p>
    <w:p w:rsidR="00F90026" w:rsidRDefault="00F90026" w:rsidP="002A0F36">
      <w:pPr>
        <w:pStyle w:val="Listenabsatz"/>
        <w:numPr>
          <w:ilvl w:val="0"/>
          <w:numId w:val="12"/>
        </w:numPr>
        <w:jc w:val="both"/>
      </w:pPr>
      <w:r>
        <w:t>Der Mieter stellt dem Vermieter</w:t>
      </w:r>
      <w:r w:rsidR="002A0F36">
        <w:t xml:space="preserve"> </w:t>
      </w:r>
      <w:r>
        <w:t>bei Abschluss des Mietvertrages</w:t>
      </w:r>
      <w:r w:rsidR="002A0F36">
        <w:t xml:space="preserve"> </w:t>
      </w:r>
      <w:r>
        <w:t>- jedoch spätestens vor Übergabe der Wohnung</w:t>
      </w:r>
      <w:r w:rsidR="002A0F36">
        <w:t xml:space="preserve"> –</w:t>
      </w:r>
      <w:r>
        <w:t xml:space="preserve"> </w:t>
      </w:r>
      <w:r w:rsidR="00BA5E13">
        <w:t xml:space="preserve">eine Kaution zur Sicherung sämtlicher Ansprüche des Vermieters aus dem Mietverhältnis in Höhe der zweifachen Monatsmiete also: </w:t>
      </w:r>
    </w:p>
    <w:p w:rsidR="00BA5E13" w:rsidRDefault="00BA5E13" w:rsidP="00BA5E13">
      <w:pPr>
        <w:pStyle w:val="Listenabsatz"/>
        <w:ind w:left="2124"/>
      </w:pPr>
    </w:p>
    <w:p w:rsidR="00BA5E13" w:rsidRPr="002A0F36" w:rsidRDefault="005D60CB" w:rsidP="002A0F36">
      <w:pPr>
        <w:jc w:val="center"/>
        <w:rPr>
          <w:b/>
        </w:rPr>
      </w:pPr>
      <w:r>
        <w:rPr>
          <w:b/>
        </w:rPr>
        <w:t>xxx</w:t>
      </w:r>
      <w:r w:rsidR="002A0F36" w:rsidRPr="002A0F36">
        <w:rPr>
          <w:b/>
        </w:rPr>
        <w:t>,</w:t>
      </w:r>
      <w:r>
        <w:rPr>
          <w:b/>
        </w:rPr>
        <w:t>xx</w:t>
      </w:r>
      <w:r w:rsidR="00BA5E13" w:rsidRPr="002A0F36">
        <w:rPr>
          <w:b/>
        </w:rPr>
        <w:t xml:space="preserve"> €</w:t>
      </w:r>
    </w:p>
    <w:p w:rsidR="00BA5E13" w:rsidRDefault="00BA5E13" w:rsidP="00BA5E13"/>
    <w:p w:rsidR="00BA5E13" w:rsidRDefault="00BA5E13" w:rsidP="002A0F36">
      <w:pPr>
        <w:ind w:left="708"/>
        <w:jc w:val="both"/>
      </w:pPr>
      <w:r>
        <w:t>Der Mieter ist berechtigt, diese Kaution durch die selbstschuldnerische und unbefristete Bürgschaft einer deutschen Großbank oder Sparkasse oder Verpfändung eines entspreche</w:t>
      </w:r>
      <w:r>
        <w:t>n</w:t>
      </w:r>
      <w:r>
        <w:t>den Sparguthabens zu erbringen. Sofern der Mieter die Kaution in bar erbringt, wird der Vermieter den Kautionsbetrag anlegen; d</w:t>
      </w:r>
      <w:r w:rsidR="00475289">
        <w:t>ie Zinsen stehen dem Mieter zu.</w:t>
      </w:r>
    </w:p>
    <w:p w:rsidR="002A0F36" w:rsidRDefault="002A0F36" w:rsidP="002A0F36">
      <w:pPr>
        <w:ind w:left="708"/>
        <w:jc w:val="both"/>
      </w:pPr>
    </w:p>
    <w:p w:rsidR="00BA5E13" w:rsidRDefault="002A0F36" w:rsidP="002A0F36">
      <w:pPr>
        <w:pStyle w:val="Listenabsatz"/>
        <w:numPr>
          <w:ilvl w:val="0"/>
          <w:numId w:val="12"/>
        </w:numPr>
        <w:jc w:val="both"/>
      </w:pPr>
      <w:r>
        <w:t>Da die Kaution eine</w:t>
      </w:r>
      <w:r w:rsidR="00BA5E13">
        <w:t xml:space="preserve"> Sicherheitsleistung ist, kann der Mieter während der Laufzeit des Mie</w:t>
      </w:r>
      <w:r w:rsidR="00BA5E13">
        <w:t>t</w:t>
      </w:r>
      <w:r w:rsidR="00BC3655">
        <w:t>vertrages nicht gegen s</w:t>
      </w:r>
      <w:r w:rsidR="00BA5E13">
        <w:t>ie aufrechnen, insbesondere nicht mit Mietzahlung.</w:t>
      </w:r>
    </w:p>
    <w:p w:rsidR="002A0F36" w:rsidRPr="0002137B" w:rsidRDefault="002A0F36" w:rsidP="002A0F36">
      <w:pPr>
        <w:pStyle w:val="Listenabsatz"/>
        <w:jc w:val="both"/>
      </w:pPr>
    </w:p>
    <w:p w:rsidR="00BA5E13" w:rsidRDefault="00BA5E13" w:rsidP="002A0F36">
      <w:pPr>
        <w:pStyle w:val="Listenabsatz"/>
        <w:numPr>
          <w:ilvl w:val="0"/>
          <w:numId w:val="12"/>
        </w:numPr>
        <w:jc w:val="both"/>
      </w:pPr>
      <w:r>
        <w:t>Sofern der Mieter seinen Verpflichtungen gegenüber dem Vermieter in vollem Umfang nac</w:t>
      </w:r>
      <w:r>
        <w:t>h</w:t>
      </w:r>
      <w:r>
        <w:t>gekommen ist, erfolgt nach Beendigung des Mietverhältnisses eine Freistellung der Kaution.</w:t>
      </w:r>
    </w:p>
    <w:p w:rsidR="002A0F36" w:rsidRDefault="002A0F36" w:rsidP="002A0F36">
      <w:pPr>
        <w:jc w:val="both"/>
      </w:pPr>
    </w:p>
    <w:p w:rsidR="00BA5E13" w:rsidRDefault="00BA5E13" w:rsidP="002A0F36">
      <w:pPr>
        <w:pStyle w:val="Listenabsatz"/>
        <w:numPr>
          <w:ilvl w:val="0"/>
          <w:numId w:val="12"/>
        </w:numPr>
        <w:jc w:val="both"/>
      </w:pPr>
      <w:r>
        <w:t>Der Vermieter / Verwalter ist berechtigt, einen angemessenen Teil der Kaution bis zum Vo</w:t>
      </w:r>
      <w:r>
        <w:t>r</w:t>
      </w:r>
      <w:r>
        <w:t>liegen der Heiz- und Betriebskostenabrechnung einzubehalten.</w:t>
      </w:r>
    </w:p>
    <w:p w:rsidR="00220EE9" w:rsidRDefault="00220EE9" w:rsidP="00220EE9">
      <w:pPr>
        <w:pStyle w:val="Listenabsatz"/>
      </w:pPr>
    </w:p>
    <w:p w:rsidR="00220EE9" w:rsidRPr="002A0F36" w:rsidRDefault="00220EE9" w:rsidP="002A0F36">
      <w:pPr>
        <w:jc w:val="center"/>
        <w:rPr>
          <w:b/>
        </w:rPr>
      </w:pPr>
      <w:r w:rsidRPr="002A0F36">
        <w:rPr>
          <w:b/>
        </w:rPr>
        <w:t>§ 6. Garantiehaftung des Vermieters, Aufrechnung und Zurückbehaltung des Mietzinses</w:t>
      </w:r>
    </w:p>
    <w:p w:rsidR="00220EE9" w:rsidRDefault="00220EE9" w:rsidP="002A0F36">
      <w:pPr>
        <w:pStyle w:val="Listenabsatz"/>
        <w:numPr>
          <w:ilvl w:val="0"/>
          <w:numId w:val="13"/>
        </w:numPr>
        <w:jc w:val="both"/>
      </w:pPr>
      <w:r>
        <w:t>Die verschuldensunabhängige Haftung des Vermiet</w:t>
      </w:r>
      <w:r w:rsidR="002A0F36">
        <w:t>ers für bei Mietvertragsabschluss</w:t>
      </w:r>
      <w:r>
        <w:t xml:space="preserve"> vorha</w:t>
      </w:r>
      <w:r>
        <w:t>n</w:t>
      </w:r>
      <w:r>
        <w:t>dene Sachmängel ist ausgeschlossen.</w:t>
      </w:r>
    </w:p>
    <w:p w:rsidR="002A0F36" w:rsidRDefault="002A0F36" w:rsidP="002A0F36">
      <w:pPr>
        <w:pStyle w:val="Listenabsatz"/>
      </w:pPr>
    </w:p>
    <w:p w:rsidR="00220EE9" w:rsidRDefault="00220EE9" w:rsidP="002A0F36">
      <w:pPr>
        <w:pStyle w:val="Listenabsatz"/>
        <w:numPr>
          <w:ilvl w:val="0"/>
          <w:numId w:val="13"/>
        </w:numPr>
        <w:jc w:val="both"/>
      </w:pPr>
      <w:r>
        <w:t>Gegen die Mietzinsforderung des Vermieters kann der Mieter nur mit unstreitigen oder rechtkräftig festgestellten Gegenforderungen aufrechnen, dies berührt nicht die Rechte des Mieters zur Mietminderung.</w:t>
      </w:r>
    </w:p>
    <w:p w:rsidR="002A0F36" w:rsidRDefault="002A0F36" w:rsidP="002A0F36"/>
    <w:p w:rsidR="00220EE9" w:rsidRDefault="00220EE9" w:rsidP="002A0F36">
      <w:pPr>
        <w:pStyle w:val="Listenabsatz"/>
        <w:numPr>
          <w:ilvl w:val="0"/>
          <w:numId w:val="13"/>
        </w:numPr>
        <w:jc w:val="both"/>
      </w:pPr>
      <w:r>
        <w:t>Die Ausübung eines Zurückbehaltungsrechtes ist nur wegen Forderungen des Mieters aus dem Nietverhältnis zulässig.</w:t>
      </w:r>
    </w:p>
    <w:p w:rsidR="00220EE9" w:rsidRDefault="00220EE9" w:rsidP="00220EE9">
      <w:pPr>
        <w:pStyle w:val="Listenabsatz"/>
      </w:pPr>
    </w:p>
    <w:p w:rsidR="00220EE9" w:rsidRPr="002A0F36" w:rsidRDefault="00D83FB6" w:rsidP="002A0F36">
      <w:pPr>
        <w:jc w:val="center"/>
        <w:rPr>
          <w:b/>
        </w:rPr>
      </w:pPr>
      <w:r>
        <w:rPr>
          <w:b/>
        </w:rPr>
        <w:t xml:space="preserve">§ 7 </w:t>
      </w:r>
      <w:r w:rsidR="00220EE9" w:rsidRPr="002A0F36">
        <w:rPr>
          <w:b/>
        </w:rPr>
        <w:t>Tierhaltung</w:t>
      </w:r>
    </w:p>
    <w:p w:rsidR="00220EE9" w:rsidRDefault="00220EE9" w:rsidP="002A0F36">
      <w:pPr>
        <w:jc w:val="both"/>
      </w:pPr>
      <w:r>
        <w:t>Das Halten von Tieren in der Mietwohnung bedarf der vorherigen Zustimmung des Vermieters / Verwalters. Ausgenommen ist das Halten von Ziervögeln, Zierfischen, Hamstern und anderen Klei</w:t>
      </w:r>
      <w:r>
        <w:t>n</w:t>
      </w:r>
      <w:r>
        <w:t>tieren, die in geschlossenen Behältnissen gehalten werden.</w:t>
      </w:r>
    </w:p>
    <w:p w:rsidR="00220EE9" w:rsidRDefault="00220EE9" w:rsidP="002A0F36">
      <w:pPr>
        <w:jc w:val="both"/>
      </w:pPr>
      <w:r>
        <w:t>Eine er</w:t>
      </w:r>
      <w:r w:rsidR="001B1FD4">
        <w:t>teilte Einwilligung ist bei V</w:t>
      </w:r>
      <w:r>
        <w:t>orliegen</w:t>
      </w:r>
      <w:r w:rsidR="001B1FD4">
        <w:t xml:space="preserve"> eines wichtigen Grundes, insbesondere wenn von dem Tier eine Störung und/oder Belästigung de</w:t>
      </w:r>
      <w:r w:rsidR="002A0F36">
        <w:t>r</w:t>
      </w:r>
      <w:r w:rsidR="001B1FD4">
        <w:t xml:space="preserve"> Mitbewohner oder die Gefahr von Schäden an der Mietsache ausgehen, widerruflich.</w:t>
      </w:r>
    </w:p>
    <w:p w:rsidR="001B1FD4" w:rsidRDefault="001B1FD4" w:rsidP="002A0F36">
      <w:pPr>
        <w:jc w:val="both"/>
      </w:pPr>
      <w:r>
        <w:t>Die Haltung von exotischen oder anderen Kleintieren, durch die eine Gefährdung von anderen Hau</w:t>
      </w:r>
      <w:r>
        <w:t>s</w:t>
      </w:r>
      <w:r>
        <w:t>bewohnern entstehen kann, bedarf der vorherigen Zustimmung des Vermieters.</w:t>
      </w:r>
    </w:p>
    <w:p w:rsidR="001B1FD4" w:rsidRDefault="001B1FD4" w:rsidP="002A0F36">
      <w:pPr>
        <w:jc w:val="both"/>
      </w:pPr>
      <w:r>
        <w:t>Eine etwa erteilte Erlaubnis erlischt mit dem Tod oder mit der Abschaffung des Tieres.</w:t>
      </w:r>
    </w:p>
    <w:p w:rsidR="001B1FD4" w:rsidRDefault="004C78D9" w:rsidP="002A0F36">
      <w:pPr>
        <w:jc w:val="both"/>
      </w:pPr>
      <w:r>
        <w:t>Der Mieter haftet für alle durch die Tierhaltung entstehenden Schäden in entsprechender Anwe</w:t>
      </w:r>
      <w:r>
        <w:t>n</w:t>
      </w:r>
      <w:r>
        <w:t>dung des § 833 BGB.</w:t>
      </w:r>
    </w:p>
    <w:p w:rsidR="004C78D9" w:rsidRDefault="004C78D9" w:rsidP="00220EE9"/>
    <w:p w:rsidR="004C78D9" w:rsidRPr="002A0F36" w:rsidRDefault="004C78D9" w:rsidP="002A0F36">
      <w:pPr>
        <w:jc w:val="center"/>
        <w:rPr>
          <w:b/>
        </w:rPr>
      </w:pPr>
      <w:r w:rsidRPr="002A0F36">
        <w:rPr>
          <w:b/>
        </w:rPr>
        <w:t>§</w:t>
      </w:r>
      <w:r w:rsidR="00924C6E" w:rsidRPr="002A0F36">
        <w:rPr>
          <w:b/>
        </w:rPr>
        <w:t xml:space="preserve"> </w:t>
      </w:r>
      <w:r w:rsidR="00D83FB6">
        <w:rPr>
          <w:b/>
        </w:rPr>
        <w:t xml:space="preserve">8 </w:t>
      </w:r>
      <w:r w:rsidRPr="002A0F36">
        <w:rPr>
          <w:b/>
        </w:rPr>
        <w:t xml:space="preserve"> Schönheitsreparaturen</w:t>
      </w:r>
    </w:p>
    <w:p w:rsidR="004C78D9" w:rsidRDefault="004C78D9" w:rsidP="002A0F36">
      <w:pPr>
        <w:pStyle w:val="Listenabsatz"/>
        <w:numPr>
          <w:ilvl w:val="0"/>
          <w:numId w:val="15"/>
        </w:numPr>
        <w:jc w:val="both"/>
      </w:pPr>
      <w:r>
        <w:t xml:space="preserve">Eine Anfangsrenovierung ist nicht geschuldet. Die laufenden Schönheitsreparaturen </w:t>
      </w:r>
      <w:r w:rsidRPr="00D614FB">
        <w:t>für die Mietdauer</w:t>
      </w:r>
      <w:r>
        <w:t xml:space="preserve"> übernimmt der Mieter.</w:t>
      </w:r>
    </w:p>
    <w:p w:rsidR="00D614FB" w:rsidRDefault="00D614FB" w:rsidP="00D614FB">
      <w:pPr>
        <w:pStyle w:val="Listenabsatz"/>
        <w:jc w:val="both"/>
      </w:pPr>
    </w:p>
    <w:p w:rsidR="004C78D9" w:rsidRDefault="004C78D9" w:rsidP="002A0F36">
      <w:pPr>
        <w:pStyle w:val="Listenabsatz"/>
        <w:numPr>
          <w:ilvl w:val="0"/>
          <w:numId w:val="15"/>
        </w:numPr>
        <w:jc w:val="both"/>
      </w:pPr>
      <w:r>
        <w:t>Zu den Schönheitsreparaturen zählt das Tapezieren, Anstreichen oder Kalken der Wände und Decken, das Streichen der Heizkörper einschließlich der Rohre sowie Fenster und Türen von innen und das Reinigen der Teppichböden bzw. der Fußböden. Ebenso zählen hierzu das Ve</w:t>
      </w:r>
      <w:r>
        <w:t>r</w:t>
      </w:r>
      <w:r>
        <w:t>schließen von Dübellöchern und Schraubenlöchern.</w:t>
      </w:r>
    </w:p>
    <w:p w:rsidR="007847BA" w:rsidRDefault="007847BA" w:rsidP="007847BA">
      <w:pPr>
        <w:pStyle w:val="Listenabsatz"/>
        <w:jc w:val="both"/>
      </w:pPr>
    </w:p>
    <w:p w:rsidR="004C78D9" w:rsidRDefault="004C78D9" w:rsidP="004C78D9">
      <w:pPr>
        <w:pStyle w:val="Listenabsatz"/>
        <w:numPr>
          <w:ilvl w:val="0"/>
          <w:numId w:val="15"/>
        </w:numPr>
      </w:pPr>
      <w:r>
        <w:t>Die Schönheitsreparaturen sind in der Regel in folgenden Zeitabständen fällig:</w:t>
      </w:r>
    </w:p>
    <w:p w:rsidR="004C78D9" w:rsidRDefault="004C78D9" w:rsidP="004C78D9">
      <w:pPr>
        <w:pStyle w:val="Listenabsatz"/>
        <w:numPr>
          <w:ilvl w:val="0"/>
          <w:numId w:val="17"/>
        </w:numPr>
      </w:pPr>
      <w:r>
        <w:t>in Küchen, Bädern und Duschen alle fünf Jahre;</w:t>
      </w:r>
    </w:p>
    <w:p w:rsidR="004C78D9" w:rsidRDefault="004C2F67" w:rsidP="004C78D9">
      <w:pPr>
        <w:pStyle w:val="Listenabsatz"/>
        <w:numPr>
          <w:ilvl w:val="0"/>
          <w:numId w:val="17"/>
        </w:numPr>
      </w:pPr>
      <w:r>
        <w:t>in Wohn- und Schlafräumen, Fluren, Dielen und Toiletten alle acht Jahre;</w:t>
      </w:r>
    </w:p>
    <w:p w:rsidR="004C2F67" w:rsidRDefault="004C2F67" w:rsidP="004C78D9">
      <w:pPr>
        <w:pStyle w:val="Listenabsatz"/>
        <w:numPr>
          <w:ilvl w:val="0"/>
          <w:numId w:val="17"/>
        </w:numPr>
      </w:pPr>
      <w:r>
        <w:t>in Nebenräumen alle zehn Jahre</w:t>
      </w:r>
      <w:r w:rsidR="007847BA">
        <w:t>.</w:t>
      </w:r>
    </w:p>
    <w:p w:rsidR="004C2F67" w:rsidRDefault="004C2F67" w:rsidP="004C2F67">
      <w:pPr>
        <w:ind w:left="708"/>
      </w:pPr>
    </w:p>
    <w:p w:rsidR="004C2F67" w:rsidRDefault="004C2F67" w:rsidP="007847BA">
      <w:pPr>
        <w:ind w:left="708"/>
        <w:jc w:val="both"/>
      </w:pPr>
      <w:r>
        <w:t>Lässt d</w:t>
      </w:r>
      <w:r w:rsidR="007847BA">
        <w:t>er Zustand einzelner Räume der W</w:t>
      </w:r>
      <w:r>
        <w:t>ohnung während der Mietzeit eine Verlängerung der vorgenannten Fristen zu oder erfordert der Grad der Abnutzung eine Verkürzung, so sind nach billigem Ermessen die Fristen des Plans abzüglich der Durchführung einzelner Schö</w:t>
      </w:r>
      <w:r>
        <w:t>n</w:t>
      </w:r>
      <w:r>
        <w:t>heitsreparaturen zu verlängern oder zu verkürzen.</w:t>
      </w:r>
    </w:p>
    <w:p w:rsidR="007847BA" w:rsidRDefault="007847BA" w:rsidP="007847BA">
      <w:pPr>
        <w:ind w:left="708"/>
        <w:jc w:val="both"/>
      </w:pPr>
    </w:p>
    <w:p w:rsidR="001D3954" w:rsidRDefault="004C2F67" w:rsidP="00475289">
      <w:pPr>
        <w:pStyle w:val="Listenabsatz"/>
        <w:numPr>
          <w:ilvl w:val="0"/>
          <w:numId w:val="15"/>
        </w:numPr>
      </w:pPr>
      <w:r>
        <w:t>Für Wände und Decken sind geeignete Dispersionsfarben, für Heizkörper und Fenster geei</w:t>
      </w:r>
      <w:r>
        <w:t>g</w:t>
      </w:r>
      <w:r>
        <w:t>nete weiße Lacke zu verwenden.</w:t>
      </w:r>
    </w:p>
    <w:p w:rsidR="007847BA" w:rsidRDefault="007847BA" w:rsidP="007847BA">
      <w:pPr>
        <w:pStyle w:val="Listenabsatz"/>
      </w:pPr>
    </w:p>
    <w:p w:rsidR="001D3954" w:rsidRDefault="004C2F67" w:rsidP="007847BA">
      <w:pPr>
        <w:pStyle w:val="Listenabsatz"/>
        <w:numPr>
          <w:ilvl w:val="0"/>
          <w:numId w:val="15"/>
        </w:numPr>
        <w:jc w:val="both"/>
      </w:pPr>
      <w:r>
        <w:t>Nach Beendigung der Mietzeit hat der Mieter alle bereits fällig gewordenen Schönheitsrep</w:t>
      </w:r>
      <w:r>
        <w:t>a</w:t>
      </w:r>
      <w:r>
        <w:t xml:space="preserve">raturen durchzuführen. Hat er Tapeten geklebt, sind diese – falls der Vermieter dies wünscht </w:t>
      </w:r>
      <w:r w:rsidR="001D3954">
        <w:t xml:space="preserve">– zu entfernen, die Wände mit Raufasertapete zu tapezieren und </w:t>
      </w:r>
      <w:r w:rsidR="007847BA">
        <w:t>mit weißer bzw. neutraler Disper</w:t>
      </w:r>
      <w:r w:rsidR="001D3954">
        <w:t>sionsfarbe zu streichen.</w:t>
      </w:r>
    </w:p>
    <w:p w:rsidR="007847BA" w:rsidRDefault="007847BA" w:rsidP="007847BA"/>
    <w:p w:rsidR="004C2F67" w:rsidRDefault="001D3954" w:rsidP="007847BA">
      <w:pPr>
        <w:pStyle w:val="Listenabsatz"/>
        <w:numPr>
          <w:ilvl w:val="0"/>
          <w:numId w:val="15"/>
        </w:numPr>
        <w:jc w:val="both"/>
      </w:pPr>
      <w:r>
        <w:t xml:space="preserve">Endet das Mietverhältnis </w:t>
      </w:r>
      <w:r w:rsidR="004C2F67">
        <w:t xml:space="preserve">vor Ablauf der nach dem Fristplan dargestellten Regelfristen, so </w:t>
      </w:r>
      <w:r>
        <w:t>b</w:t>
      </w:r>
      <w:r>
        <w:t>e</w:t>
      </w:r>
      <w:r>
        <w:t>teiligt sich der Mieter in der Regel unter Beachtung nachfolgender Prozentsätze an den Schönheitsreparaturen durch Zahlung eines Betrags in Geld. Dies geschieht aufgrund eines Kostenvoranschlags eines vom Vermieter auszuwählenden Malerfachbetriebs. Dem Mieter steht es frei, seinerseits einen Kostenvoranschlag einzuholen.</w:t>
      </w:r>
    </w:p>
    <w:p w:rsidR="004C2F67" w:rsidRDefault="004C2F67" w:rsidP="0051155F">
      <w:pPr>
        <w:pStyle w:val="Listenabsatz"/>
      </w:pPr>
    </w:p>
    <w:p w:rsidR="0051155F" w:rsidRDefault="0051155F" w:rsidP="007847BA">
      <w:pPr>
        <w:pStyle w:val="Listenabsatz"/>
        <w:jc w:val="both"/>
      </w:pPr>
      <w:r>
        <w:t>Liegen die letzten Renovierungsarbeiten länger als 1 Jahr z</w:t>
      </w:r>
      <w:r w:rsidR="007847BA">
        <w:t>urück, so hat der Mieter 20% des</w:t>
      </w:r>
      <w:r>
        <w:t xml:space="preserve"> Kostenvoranschlags zu zahlen; liegen sie länger als 2 Jahre zurück erhöht sich der Anteil auf 40%, bei 3 Jahren auf 60%, bei 4 Jahren auf 80% des entsprechenden Kostenvoranschlags. Der Mieter hat auf Verlangen des Vermieters nachzuweisen, zu welchem Zeitpunkt der Mi</w:t>
      </w:r>
      <w:r>
        <w:t>e</w:t>
      </w:r>
      <w:r>
        <w:t>ter Schönheitsreparaturen durchgeführt hat.</w:t>
      </w:r>
    </w:p>
    <w:p w:rsidR="007847BA" w:rsidRDefault="007847BA" w:rsidP="0051155F">
      <w:pPr>
        <w:pStyle w:val="Listenabsatz"/>
      </w:pPr>
    </w:p>
    <w:p w:rsidR="0051155F" w:rsidRDefault="0051155F" w:rsidP="007847BA">
      <w:pPr>
        <w:pStyle w:val="Listenabsatz"/>
        <w:jc w:val="both"/>
      </w:pPr>
      <w:r>
        <w:t>Lässt der Zustand einzelner Räume der Wohnung eine Verringerung zu oder erfordert der Grad der Abnutzung eine Erhöhung, so sind nach billigem Ermessen die Prozentsätze der B</w:t>
      </w:r>
      <w:r>
        <w:t>e</w:t>
      </w:r>
      <w:r>
        <w:t>teiligung an den Schönheitsreparaturen zu verringern oder zu erhöhen.</w:t>
      </w:r>
    </w:p>
    <w:p w:rsidR="0051155F" w:rsidRDefault="0051155F" w:rsidP="007847BA">
      <w:pPr>
        <w:pStyle w:val="Listenabsatz"/>
        <w:jc w:val="both"/>
      </w:pPr>
    </w:p>
    <w:p w:rsidR="0051155F" w:rsidRDefault="0051155F" w:rsidP="007847BA">
      <w:pPr>
        <w:pStyle w:val="Listenabsatz"/>
        <w:jc w:val="both"/>
      </w:pPr>
      <w:r>
        <w:t>Dem Mieter ist es freigestellt, anstelle der Zahlungen auch die Schönheitsreparaturen durc</w:t>
      </w:r>
      <w:r>
        <w:t>h</w:t>
      </w:r>
      <w:r>
        <w:t>zuführen. Insbesondere ist es dem Mieter gestattet, Schönheitsreparaturen auc</w:t>
      </w:r>
      <w:r w:rsidR="007847BA">
        <w:t>h</w:t>
      </w:r>
      <w:r>
        <w:t xml:space="preserve"> in einze</w:t>
      </w:r>
      <w:r>
        <w:t>l</w:t>
      </w:r>
      <w:r>
        <w:t>nen Räumen vorzunehmen.</w:t>
      </w:r>
    </w:p>
    <w:p w:rsidR="00220EE9" w:rsidRDefault="00220EE9" w:rsidP="00220EE9"/>
    <w:p w:rsidR="009D7F8E" w:rsidRPr="007847BA" w:rsidRDefault="00924C6E" w:rsidP="007847BA">
      <w:pPr>
        <w:jc w:val="center"/>
        <w:rPr>
          <w:b/>
        </w:rPr>
      </w:pPr>
      <w:r w:rsidRPr="007847BA">
        <w:rPr>
          <w:b/>
        </w:rPr>
        <w:t>§ 9 Instanthaltung der Mieträume / Kleinreparaturen</w:t>
      </w:r>
    </w:p>
    <w:p w:rsidR="00924C6E" w:rsidRDefault="00924C6E" w:rsidP="007847BA">
      <w:pPr>
        <w:pStyle w:val="Listenabsatz"/>
        <w:numPr>
          <w:ilvl w:val="0"/>
          <w:numId w:val="19"/>
        </w:numPr>
        <w:jc w:val="both"/>
      </w:pPr>
      <w:r>
        <w:t>Zeigt sich im Laufe der Mietzeit ein Mangel der Mietsache oder wird eine Vorkehrung zum Schutze der Mietsache gegen eine nicht vorhergesehene Gefahr erforderlich, so hat der Mi</w:t>
      </w:r>
      <w:r>
        <w:t>e</w:t>
      </w:r>
      <w:r>
        <w:t>ter dem Vermieter dies zur Vermeidung seiner Schadensersatzpflicht unverzüglich anzuze</w:t>
      </w:r>
      <w:r>
        <w:t>i</w:t>
      </w:r>
      <w:r>
        <w:t>gen.</w:t>
      </w:r>
    </w:p>
    <w:p w:rsidR="007847BA" w:rsidRDefault="007847BA" w:rsidP="007847BA">
      <w:pPr>
        <w:pStyle w:val="Listenabsatz"/>
        <w:jc w:val="both"/>
      </w:pPr>
    </w:p>
    <w:p w:rsidR="00924C6E" w:rsidRDefault="00924C6E" w:rsidP="007847BA">
      <w:pPr>
        <w:pStyle w:val="Listenabsatz"/>
        <w:numPr>
          <w:ilvl w:val="0"/>
          <w:numId w:val="19"/>
        </w:numPr>
        <w:jc w:val="both"/>
      </w:pPr>
      <w:r>
        <w:t xml:space="preserve">Der Mieter hat kleine Reparaturen innerhalb des Mietobjektes auf eigene Kosten fachgerecht auszuführen, es sei denn, die Schäden sind von einem anderen Vertragspartner zu vertreten. Diese </w:t>
      </w:r>
      <w:r w:rsidR="00265301">
        <w:t>Kleinreparaturen umfassen das B</w:t>
      </w:r>
      <w:r>
        <w:t>e</w:t>
      </w:r>
      <w:r w:rsidR="00265301">
        <w:t>h</w:t>
      </w:r>
      <w:r>
        <w:t xml:space="preserve">eben von Schäden an den </w:t>
      </w:r>
      <w:r w:rsidR="00265301">
        <w:t>sanitären</w:t>
      </w:r>
      <w:r>
        <w:t xml:space="preserve"> </w:t>
      </w:r>
      <w:r w:rsidR="00265301">
        <w:t>Anlagen</w:t>
      </w:r>
      <w:r>
        <w:t xml:space="preserve"> sowie an den Installationsgegenständen für Elektrizität, Wasser, Gas, den Heiz- und Kocheinric</w:t>
      </w:r>
      <w:r>
        <w:t>h</w:t>
      </w:r>
      <w:r>
        <w:t xml:space="preserve">tungen, den fenster- und Türverschlüssen sowie den </w:t>
      </w:r>
      <w:r w:rsidR="00265301">
        <w:t>Rollläden</w:t>
      </w:r>
      <w:r>
        <w:t xml:space="preserve"> bis zum Kostenbetrag von 100,00</w:t>
      </w:r>
      <w:r w:rsidR="007847BA">
        <w:t xml:space="preserve"> </w:t>
      </w:r>
      <w:r>
        <w:t>€ für den einzelnen Reparaturfall, im Abrechnungsjahr höchstens</w:t>
      </w:r>
      <w:r w:rsidR="00265301">
        <w:t xml:space="preserve"> </w:t>
      </w:r>
      <w:r>
        <w:t xml:space="preserve">den </w:t>
      </w:r>
      <w:r w:rsidR="00265301">
        <w:t>Betrag</w:t>
      </w:r>
      <w:r>
        <w:t xml:space="preserve"> einer Nettokaltmiete.</w:t>
      </w:r>
    </w:p>
    <w:p w:rsidR="007847BA" w:rsidRDefault="007847BA" w:rsidP="007847BA">
      <w:pPr>
        <w:jc w:val="both"/>
      </w:pPr>
    </w:p>
    <w:p w:rsidR="00265301" w:rsidRDefault="00265301" w:rsidP="007847BA">
      <w:pPr>
        <w:pStyle w:val="Listenabsatz"/>
        <w:numPr>
          <w:ilvl w:val="0"/>
          <w:numId w:val="19"/>
        </w:numPr>
        <w:jc w:val="both"/>
      </w:pPr>
      <w:r>
        <w:t>Ungezieferbefall seiner Wohnung hat der Mieter unverzüglich dem Vermieter zu anzuzeigen. Er hat auftretendes Ungeziefer auf seine Kosten zu beseitigen, soweit er den Ungezieferbefall zu vertreten hat.</w:t>
      </w:r>
    </w:p>
    <w:p w:rsidR="007847BA" w:rsidRDefault="007847BA" w:rsidP="007847BA"/>
    <w:p w:rsidR="00265301" w:rsidRDefault="00265301" w:rsidP="007847BA">
      <w:pPr>
        <w:pStyle w:val="Listenabsatz"/>
        <w:numPr>
          <w:ilvl w:val="0"/>
          <w:numId w:val="19"/>
        </w:numPr>
        <w:jc w:val="both"/>
      </w:pPr>
      <w:r>
        <w:t xml:space="preserve">Der Mieter haftet dem Vermieter für Schäden, die durch Verletzung der ihm obliegenden </w:t>
      </w:r>
      <w:r w:rsidR="002873DB">
        <w:t>Sorgfalts- und A</w:t>
      </w:r>
      <w:r>
        <w:t>nzeigenpflicht veru</w:t>
      </w:r>
      <w:r w:rsidR="002873DB">
        <w:t>rsacht werden, insbesondere auch, wenn Versorgungs- und Abflussleitungen, Toiletten-, Heizungsanlagen usw. unsachgemäß behandelt, die Räume unzureichend gelüftet, gereinigt, beheizt oder nicht ausreichend gegen Frost geschützt we</w:t>
      </w:r>
      <w:r w:rsidR="002873DB">
        <w:t>r</w:t>
      </w:r>
      <w:r w:rsidR="002873DB">
        <w:t>den.</w:t>
      </w:r>
      <w:r>
        <w:t xml:space="preserve"> </w:t>
      </w:r>
    </w:p>
    <w:p w:rsidR="007847BA" w:rsidRDefault="007847BA" w:rsidP="007847BA">
      <w:pPr>
        <w:jc w:val="both"/>
      </w:pPr>
    </w:p>
    <w:p w:rsidR="002873DB" w:rsidRDefault="002873DB" w:rsidP="007847BA">
      <w:pPr>
        <w:pStyle w:val="Listenabsatz"/>
        <w:numPr>
          <w:ilvl w:val="0"/>
          <w:numId w:val="19"/>
        </w:numPr>
        <w:jc w:val="both"/>
      </w:pPr>
      <w:r>
        <w:t>Der Mieter haftet in gleicher Weise für Schäden, die durch seine Angehörigen, Untermieter, Besucher, Lieferanten und Handwerker verursacht worden sind.</w:t>
      </w:r>
    </w:p>
    <w:p w:rsidR="007847BA" w:rsidRDefault="007847BA" w:rsidP="007847BA"/>
    <w:p w:rsidR="002873DB" w:rsidRDefault="002873DB" w:rsidP="00924C6E">
      <w:pPr>
        <w:pStyle w:val="Listenabsatz"/>
        <w:numPr>
          <w:ilvl w:val="0"/>
          <w:numId w:val="19"/>
        </w:numPr>
      </w:pPr>
      <w:r>
        <w:t>Der Mieter hat Schäden, für die er einstehen muss, sofort zu beseitigen.</w:t>
      </w:r>
    </w:p>
    <w:p w:rsidR="007847BA" w:rsidRDefault="007847BA" w:rsidP="007847BA"/>
    <w:p w:rsidR="002873DB" w:rsidRDefault="002873DB" w:rsidP="00924C6E">
      <w:pPr>
        <w:pStyle w:val="Listenabsatz"/>
        <w:numPr>
          <w:ilvl w:val="0"/>
          <w:numId w:val="19"/>
        </w:numPr>
      </w:pPr>
      <w:r>
        <w:t>Der Mieter hat zu beweisen, dass Schäden in seinem ausschließlichen Gefahrenbereich nicht auf sein Verschulden oder auf dem verschulden der Personen, für die er einzustehen hat, b</w:t>
      </w:r>
      <w:r>
        <w:t>e</w:t>
      </w:r>
      <w:r>
        <w:t>rufen.</w:t>
      </w:r>
    </w:p>
    <w:p w:rsidR="007847BA" w:rsidRDefault="007847BA" w:rsidP="007847BA"/>
    <w:p w:rsidR="002873DB" w:rsidRDefault="002873DB" w:rsidP="00924C6E">
      <w:pPr>
        <w:pStyle w:val="Listenabsatz"/>
        <w:numPr>
          <w:ilvl w:val="0"/>
          <w:numId w:val="19"/>
        </w:numPr>
      </w:pPr>
      <w:r>
        <w:t>Dichtgummis an Türen und Fenstern sind regelmäßig zu pflegen und Türscharniere sowie Fensterbeschläge zu warten (ölen).</w:t>
      </w:r>
    </w:p>
    <w:p w:rsidR="00B73A59" w:rsidRDefault="00B73A59" w:rsidP="00B73A59">
      <w:pPr>
        <w:ind w:left="360"/>
      </w:pPr>
    </w:p>
    <w:p w:rsidR="002873DB" w:rsidRDefault="00686B00" w:rsidP="00924C6E">
      <w:pPr>
        <w:pStyle w:val="Listenabsatz"/>
        <w:numPr>
          <w:ilvl w:val="0"/>
          <w:numId w:val="19"/>
        </w:numPr>
      </w:pPr>
      <w:r>
        <w:t>In die Fensterrahmen und Türblätter darf nicht gebohrt werden. Kleiderhaken sind bei Au</w:t>
      </w:r>
      <w:r>
        <w:t>s</w:t>
      </w:r>
      <w:r>
        <w:t>zug ohne Beschädigung zu entfernen.</w:t>
      </w:r>
    </w:p>
    <w:p w:rsidR="007847BA" w:rsidRDefault="007847BA" w:rsidP="007847BA"/>
    <w:p w:rsidR="00686B00" w:rsidRDefault="00686B00" w:rsidP="00924C6E">
      <w:pPr>
        <w:pStyle w:val="Listenabsatz"/>
        <w:numPr>
          <w:ilvl w:val="0"/>
          <w:numId w:val="19"/>
        </w:numPr>
      </w:pPr>
      <w:r>
        <w:t xml:space="preserve">Der Mieter verpflichtet sich zum Abschluss einer </w:t>
      </w:r>
      <w:r w:rsidR="00B73A59">
        <w:t>H</w:t>
      </w:r>
      <w:r>
        <w:t>ausrat-, Glas- und Privathaftpflichtvers</w:t>
      </w:r>
      <w:r>
        <w:t>i</w:t>
      </w:r>
      <w:r>
        <w:t>ch</w:t>
      </w:r>
      <w:r w:rsidR="00B73A59">
        <w:t>e</w:t>
      </w:r>
      <w:r>
        <w:t>rung, die vom Mieter verschuldete Schäden abdeckt.</w:t>
      </w:r>
    </w:p>
    <w:p w:rsidR="00713D42" w:rsidRDefault="00713D42">
      <w:r>
        <w:br w:type="page"/>
      </w:r>
    </w:p>
    <w:p w:rsidR="009D7F8E" w:rsidRDefault="009D7F8E" w:rsidP="009D7F8E"/>
    <w:p w:rsidR="00B73A59" w:rsidRPr="007847BA" w:rsidRDefault="00D83FB6" w:rsidP="007847BA">
      <w:pPr>
        <w:jc w:val="center"/>
        <w:rPr>
          <w:b/>
        </w:rPr>
      </w:pPr>
      <w:r>
        <w:rPr>
          <w:b/>
        </w:rPr>
        <w:t>§ 10</w:t>
      </w:r>
      <w:r w:rsidR="00B73A59" w:rsidRPr="007847BA">
        <w:rPr>
          <w:b/>
        </w:rPr>
        <w:t xml:space="preserve"> Bauliche Veränderung</w:t>
      </w:r>
    </w:p>
    <w:p w:rsidR="00B73A59" w:rsidRDefault="00B73A59" w:rsidP="007C3A56">
      <w:pPr>
        <w:jc w:val="both"/>
      </w:pPr>
      <w:r>
        <w:t>Bauliche Veränderungen der Mietsache sind nur nach vorheriger schriftlicher Zustimmung des Ve</w:t>
      </w:r>
      <w:r>
        <w:t>r</w:t>
      </w:r>
      <w:r>
        <w:t>mieters zulässig. Bei Beendigung des Mietverhältnisses hat der Mieter, soweit nichts anderes schrif</w:t>
      </w:r>
      <w:r>
        <w:t>t</w:t>
      </w:r>
      <w:r>
        <w:t>lich vereinbart ist, die Wohnung in den ursprünglichen Zustand zu versetzen.</w:t>
      </w:r>
    </w:p>
    <w:p w:rsidR="004B37E3" w:rsidRDefault="004B37E3" w:rsidP="00B73A59"/>
    <w:p w:rsidR="00B73A59" w:rsidRPr="007C3A56" w:rsidRDefault="00B73A59" w:rsidP="007C3A56">
      <w:pPr>
        <w:jc w:val="center"/>
        <w:rPr>
          <w:b/>
        </w:rPr>
      </w:pPr>
      <w:r w:rsidRPr="007C3A56">
        <w:rPr>
          <w:b/>
        </w:rPr>
        <w:t>§11 Recht zum Betreten</w:t>
      </w:r>
    </w:p>
    <w:p w:rsidR="007C3A56" w:rsidRDefault="007C3A56" w:rsidP="007C3A56">
      <w:pPr>
        <w:pStyle w:val="Listenabsatz"/>
      </w:pPr>
    </w:p>
    <w:p w:rsidR="00297827" w:rsidRDefault="00297827" w:rsidP="007C3A56">
      <w:pPr>
        <w:pStyle w:val="Listenabsatz"/>
        <w:numPr>
          <w:ilvl w:val="0"/>
          <w:numId w:val="21"/>
        </w:numPr>
        <w:jc w:val="both"/>
      </w:pPr>
      <w:r>
        <w:t>Bei Gefahr in Verzug sind der Vermieter und/oder sein Beauftragter berechtigt, die Mieträ</w:t>
      </w:r>
      <w:r>
        <w:t>u</w:t>
      </w:r>
      <w:r>
        <w:t>me zur Feststellung und Durchführung der zur Gefahrabwehr notwendigen Arbeiten zu b</w:t>
      </w:r>
      <w:r>
        <w:t>e</w:t>
      </w:r>
      <w:r>
        <w:t>treten.</w:t>
      </w:r>
    </w:p>
    <w:p w:rsidR="007C3A56" w:rsidRDefault="007C3A56" w:rsidP="007C3A56">
      <w:pPr>
        <w:jc w:val="both"/>
      </w:pPr>
    </w:p>
    <w:p w:rsidR="00297827" w:rsidRDefault="00297827" w:rsidP="007C3A56">
      <w:pPr>
        <w:pStyle w:val="Listenabsatz"/>
        <w:numPr>
          <w:ilvl w:val="0"/>
          <w:numId w:val="21"/>
        </w:numPr>
        <w:jc w:val="both"/>
      </w:pPr>
      <w:r>
        <w:t xml:space="preserve">Will der Vermieter das Mietobjekt verkaufen oder ist der Mietvertrag gekündigt, so ist </w:t>
      </w:r>
      <w:r w:rsidR="007C3A56">
        <w:t>der Vermieter oder ein von ihm B</w:t>
      </w:r>
      <w:r>
        <w:t>eauftragter, auch zusammen mit Kauf- und Mietinteressenten, berechtigt, die Mietsache wochentags von 09.00 – 18.00 Uhr nach rechtzeitiger Ankündigung zu besichtigen.</w:t>
      </w:r>
    </w:p>
    <w:p w:rsidR="00297827" w:rsidRDefault="00297827" w:rsidP="00297827"/>
    <w:p w:rsidR="00297827" w:rsidRPr="007C3A56" w:rsidRDefault="00D83FB6" w:rsidP="007C3A56">
      <w:pPr>
        <w:jc w:val="center"/>
        <w:rPr>
          <w:b/>
        </w:rPr>
      </w:pPr>
      <w:r>
        <w:rPr>
          <w:b/>
        </w:rPr>
        <w:t>§ 12</w:t>
      </w:r>
      <w:r w:rsidR="00297827" w:rsidRPr="007C3A56">
        <w:rPr>
          <w:b/>
        </w:rPr>
        <w:t xml:space="preserve"> Untervermietung</w:t>
      </w:r>
    </w:p>
    <w:p w:rsidR="00297827" w:rsidRDefault="00297827" w:rsidP="004B37E3">
      <w:pPr>
        <w:ind w:left="708"/>
        <w:jc w:val="both"/>
      </w:pPr>
      <w:r>
        <w:t>Eine Untervermietung oder Gebrauchsüberlassung der Mieträume seitens des Mieters an Dritte ist ganz oder teilweise nur nach vorheriger schriftlicher Zustimmung des Vermieters zulässig.</w:t>
      </w:r>
    </w:p>
    <w:p w:rsidR="00297827" w:rsidRDefault="00297827" w:rsidP="00297827"/>
    <w:p w:rsidR="00297827" w:rsidRPr="007C3A56" w:rsidRDefault="00D83FB6" w:rsidP="007C3A56">
      <w:pPr>
        <w:jc w:val="center"/>
        <w:rPr>
          <w:b/>
        </w:rPr>
      </w:pPr>
      <w:r>
        <w:rPr>
          <w:b/>
        </w:rPr>
        <w:t>§ 13</w:t>
      </w:r>
      <w:r w:rsidR="00297827" w:rsidRPr="007C3A56">
        <w:rPr>
          <w:b/>
        </w:rPr>
        <w:t xml:space="preserve"> Vermieterpfandrecht</w:t>
      </w:r>
    </w:p>
    <w:p w:rsidR="00297827" w:rsidRDefault="00297827" w:rsidP="004B37E3">
      <w:pPr>
        <w:ind w:left="708"/>
        <w:jc w:val="both"/>
      </w:pPr>
      <w:r>
        <w:t>Der Mieter versichert, dass alle in die Wohnung eingebrachten Gegenstände in seinem Eige</w:t>
      </w:r>
      <w:r>
        <w:t>n</w:t>
      </w:r>
      <w:r>
        <w:t>tum stehen bis auf folgende Ausnahmen:</w:t>
      </w:r>
    </w:p>
    <w:p w:rsidR="00297827" w:rsidRPr="007C3A56" w:rsidRDefault="007C3A56" w:rsidP="007C3A56">
      <w:pPr>
        <w:ind w:left="1068"/>
        <w:jc w:val="center"/>
        <w:rPr>
          <w:b/>
        </w:rPr>
      </w:pPr>
      <w:r w:rsidRPr="007C3A56">
        <w:rPr>
          <w:b/>
        </w:rPr>
        <w:t xml:space="preserve">- </w:t>
      </w:r>
      <w:r>
        <w:rPr>
          <w:b/>
        </w:rPr>
        <w:t>k</w:t>
      </w:r>
      <w:r w:rsidRPr="007C3A56">
        <w:rPr>
          <w:b/>
        </w:rPr>
        <w:t xml:space="preserve">eine </w:t>
      </w:r>
      <w:r w:rsidR="00297827" w:rsidRPr="007C3A56">
        <w:rPr>
          <w:b/>
        </w:rPr>
        <w:t>-</w:t>
      </w:r>
    </w:p>
    <w:p w:rsidR="00297827" w:rsidRDefault="00297827" w:rsidP="00297827">
      <w:pPr>
        <w:pStyle w:val="Listenabsatz"/>
        <w:ind w:left="1068"/>
      </w:pPr>
    </w:p>
    <w:p w:rsidR="00B3672C" w:rsidRPr="007C3A56" w:rsidRDefault="00297827" w:rsidP="007C3A56">
      <w:pPr>
        <w:jc w:val="center"/>
        <w:rPr>
          <w:b/>
        </w:rPr>
      </w:pPr>
      <w:r w:rsidRPr="007C3A56">
        <w:rPr>
          <w:b/>
        </w:rPr>
        <w:t>§ 14 Hausordnung/ Benutzung der Mieträume</w:t>
      </w:r>
    </w:p>
    <w:p w:rsidR="00236B20" w:rsidRDefault="00475289" w:rsidP="00475289">
      <w:pPr>
        <w:pStyle w:val="Listenabsatz"/>
        <w:numPr>
          <w:ilvl w:val="0"/>
          <w:numId w:val="22"/>
        </w:numPr>
      </w:pPr>
      <w:r>
        <w:t>Der Mieter verpflichtet sich zur Einhaltung der Hausordnung, die diesem Vertrag anliegt, s</w:t>
      </w:r>
      <w:r>
        <w:t>o</w:t>
      </w:r>
      <w:r>
        <w:t>wie zur Einhaltung aller dem Zusammenleben der Mieter dienenden Anweisungen der Hau</w:t>
      </w:r>
      <w:r>
        <w:t>s</w:t>
      </w:r>
      <w:r>
        <w:t>verwaltung.</w:t>
      </w:r>
    </w:p>
    <w:p w:rsidR="007C3A56" w:rsidRDefault="007C3A56" w:rsidP="007C3A56">
      <w:pPr>
        <w:pStyle w:val="Listenabsatz"/>
      </w:pPr>
    </w:p>
    <w:p w:rsidR="00475289" w:rsidRDefault="00475289" w:rsidP="007C3A56">
      <w:pPr>
        <w:pStyle w:val="Listenabsatz"/>
        <w:numPr>
          <w:ilvl w:val="0"/>
          <w:numId w:val="22"/>
        </w:numPr>
        <w:jc w:val="both"/>
      </w:pPr>
      <w:r>
        <w:t>Der Mieter verpflichtet sich gegenüber dem Vermieter, die Wohnung im Rahmen des or</w:t>
      </w:r>
      <w:r>
        <w:t>d</w:t>
      </w:r>
      <w:r>
        <w:t>nungsgemäßen Gebrauchs ausreichend zu beheizen und zu belüften, insbesondere auch die Schlafräume.</w:t>
      </w:r>
    </w:p>
    <w:p w:rsidR="007C3A56" w:rsidRDefault="007C3A56" w:rsidP="007C3A56">
      <w:pPr>
        <w:jc w:val="both"/>
      </w:pPr>
    </w:p>
    <w:p w:rsidR="00475289" w:rsidRDefault="00475289" w:rsidP="007C3A56">
      <w:pPr>
        <w:pStyle w:val="Listenabsatz"/>
        <w:jc w:val="both"/>
      </w:pPr>
      <w:r>
        <w:t>Mieter und Vermieter sind sich darüber einig, dass eine ausreichende Beheizung und Belü</w:t>
      </w:r>
      <w:r>
        <w:t>f</w:t>
      </w:r>
      <w:r>
        <w:t>tung in der Form zu erfolgen hat, dass die Raumtemperatur im Durchschnitt mindestens 20°C beträgt und eine relative Luftfeuchtigkeit von 50% (in der Zimmermitte) nicht überschritten wird. In diesem Zusammenhang wird auf das Merkblatt „Richtiges Heizen und Lüften“ ve</w:t>
      </w:r>
      <w:r>
        <w:t>r</w:t>
      </w:r>
      <w:r>
        <w:t>wiesen, welches Bestandteil dieses Vertrags ist.</w:t>
      </w:r>
    </w:p>
    <w:p w:rsidR="00713D42" w:rsidRDefault="00713D42">
      <w:r>
        <w:br w:type="page"/>
      </w:r>
    </w:p>
    <w:p w:rsidR="00475289" w:rsidRDefault="00475289" w:rsidP="00475289"/>
    <w:p w:rsidR="00475289" w:rsidRPr="007C3A56" w:rsidRDefault="00475289" w:rsidP="007C3A56">
      <w:pPr>
        <w:jc w:val="center"/>
        <w:rPr>
          <w:b/>
        </w:rPr>
      </w:pPr>
      <w:r w:rsidRPr="007C3A56">
        <w:rPr>
          <w:b/>
        </w:rPr>
        <w:t>§ 15 Ende des Mietverhältnisses</w:t>
      </w:r>
    </w:p>
    <w:p w:rsidR="00475289" w:rsidRDefault="00475289" w:rsidP="007C3A56">
      <w:pPr>
        <w:pStyle w:val="Listenabsatz"/>
        <w:numPr>
          <w:ilvl w:val="0"/>
          <w:numId w:val="23"/>
        </w:numPr>
        <w:jc w:val="both"/>
      </w:pPr>
      <w:r>
        <w:t xml:space="preserve">Der Mieter ist verpflichtet, dem </w:t>
      </w:r>
      <w:r w:rsidR="001B2B58">
        <w:t>Vermieter</w:t>
      </w:r>
      <w:r>
        <w:t xml:space="preserve"> </w:t>
      </w:r>
      <w:r w:rsidR="00D83FB6">
        <w:t xml:space="preserve">spätestens </w:t>
      </w:r>
      <w:r>
        <w:t>am letzten Tag des Mietverhältnisses die vertrags</w:t>
      </w:r>
      <w:r w:rsidR="001B2B58">
        <w:t>gegenständliche Wohnung, versehen mit den in diesem Vertrag vereinbarten Schönheitsreparaturen herauszugeben. Zusammen mit der Wohnung hat er das einwan</w:t>
      </w:r>
      <w:r w:rsidR="001B2B58">
        <w:t>d</w:t>
      </w:r>
      <w:r w:rsidR="001B2B58">
        <w:t>freie Inventar und sämtliche, ihm überlassene Schlüssel zurück zu geben. Außerdem sichert der Mieter zu, die Wohnung vor der Rückgabe gründlich zu reinigen und die Fenster, soweit erforderlich, zu putzen.</w:t>
      </w:r>
    </w:p>
    <w:p w:rsidR="007C3A56" w:rsidRDefault="007C3A56" w:rsidP="007C3A56">
      <w:pPr>
        <w:pStyle w:val="Listenabsatz"/>
        <w:jc w:val="both"/>
      </w:pPr>
    </w:p>
    <w:p w:rsidR="001B2B58" w:rsidRDefault="001B2B58" w:rsidP="007C3A56">
      <w:pPr>
        <w:pStyle w:val="Listenabsatz"/>
        <w:numPr>
          <w:ilvl w:val="0"/>
          <w:numId w:val="23"/>
        </w:numPr>
        <w:jc w:val="both"/>
      </w:pPr>
      <w:r>
        <w:t xml:space="preserve">Endet das Mietverhältnis durch fristlose Kündigung des Vermieters aus Gründen, die der Mieter zu vertreten hat, haftet der Mieter </w:t>
      </w:r>
      <w:r w:rsidR="00D83FB6">
        <w:t xml:space="preserve">bis zum Ablauf der ordentlichen Kündigungsfrist </w:t>
      </w:r>
      <w:r>
        <w:t>für den Schaden, der dem Vermieter dadurch entst</w:t>
      </w:r>
      <w:r w:rsidR="00D83FB6">
        <w:t>anden ist</w:t>
      </w:r>
      <w:r>
        <w:t>, dass die Räume nach dem Au</w:t>
      </w:r>
      <w:r>
        <w:t>s</w:t>
      </w:r>
      <w:r>
        <w:t>zug des Mieters aus Gründen, die der Vermieter nicht zu vertreten hat, nicht oder nur zu e</w:t>
      </w:r>
      <w:r>
        <w:t>i</w:t>
      </w:r>
      <w:r>
        <w:t>nem niedrigeren Mietzins vermietet werden können. Die Geltendmachung eines weiter</w:t>
      </w:r>
      <w:r w:rsidR="007C3A56">
        <w:t>en, vom Mieter zu vertretenden S</w:t>
      </w:r>
      <w:r>
        <w:t>chaden, ist nicht ausgeschlossen.</w:t>
      </w:r>
    </w:p>
    <w:p w:rsidR="007C3A56" w:rsidRDefault="007C3A56" w:rsidP="007C3A56">
      <w:pPr>
        <w:jc w:val="both"/>
      </w:pPr>
    </w:p>
    <w:p w:rsidR="001B2B58" w:rsidRDefault="001B2B58" w:rsidP="007C3A56">
      <w:pPr>
        <w:pStyle w:val="Listenabsatz"/>
        <w:numPr>
          <w:ilvl w:val="0"/>
          <w:numId w:val="23"/>
        </w:numPr>
        <w:jc w:val="both"/>
      </w:pPr>
      <w:r>
        <w:t>Setzt der Mieter den Gebrauch der Mietsache nach Ablauf der Mietzeit fort, so verlängert sich das Mietverhältnis abweichend vom §545 BGB nicht stillschweigend.</w:t>
      </w:r>
    </w:p>
    <w:p w:rsidR="001B2B58" w:rsidRDefault="001B2B58" w:rsidP="007C3A56">
      <w:pPr>
        <w:pStyle w:val="Listenabsatz"/>
        <w:jc w:val="both"/>
      </w:pPr>
      <w:r>
        <w:t>Setzt der Mieter nach Ablauf der Mietzeit den Gebrauch fort, so hat er als Nutzungsei</w:t>
      </w:r>
      <w:r>
        <w:t>n</w:t>
      </w:r>
      <w:r>
        <w:t>schränkung den ortüblichen Mietwert</w:t>
      </w:r>
      <w:r w:rsidR="00C02EF7">
        <w:t xml:space="preserve"> der Wohnung, mindestens aber den zuletzt vereinbart gewesenen Mietzins, zu zahlen. Die Geltendmachung eines weiteren Schadens bleibt vorb</w:t>
      </w:r>
      <w:r w:rsidR="00C02EF7">
        <w:t>e</w:t>
      </w:r>
      <w:r w:rsidR="00C02EF7">
        <w:t xml:space="preserve">halten. </w:t>
      </w:r>
    </w:p>
    <w:p w:rsidR="00C02EF7" w:rsidRDefault="00C02EF7" w:rsidP="00C02EF7"/>
    <w:p w:rsidR="00C02EF7" w:rsidRPr="007C3A56" w:rsidRDefault="00D83FB6" w:rsidP="007C3A56">
      <w:pPr>
        <w:jc w:val="center"/>
        <w:rPr>
          <w:b/>
        </w:rPr>
      </w:pPr>
      <w:r>
        <w:rPr>
          <w:b/>
        </w:rPr>
        <w:t>§ 16</w:t>
      </w:r>
      <w:r w:rsidR="00C02EF7" w:rsidRPr="007C3A56">
        <w:rPr>
          <w:b/>
        </w:rPr>
        <w:t xml:space="preserve"> Salvatorische Klausel / Nebenabreden</w:t>
      </w:r>
    </w:p>
    <w:p w:rsidR="00C02EF7" w:rsidRDefault="00C02EF7" w:rsidP="007C3A56">
      <w:pPr>
        <w:pStyle w:val="Listenabsatz"/>
        <w:numPr>
          <w:ilvl w:val="0"/>
          <w:numId w:val="24"/>
        </w:numPr>
        <w:jc w:val="both"/>
      </w:pPr>
      <w:r>
        <w:t>Die etwaige Ungültigkeit einzelner Bestimmungen dieses Vertrags hat auf seinen Fortbestand und auf die Wirksamkeit der übrigen Vereinbarungen keinen Einfluss. Für den betroffenen Teil ist eine neue Regelung vorzunehmen, die der ursprünglichen wirtschaftlich und inhaltlich am nächsten kommt.</w:t>
      </w:r>
    </w:p>
    <w:p w:rsidR="00C02EF7" w:rsidRDefault="00C02EF7" w:rsidP="007C3A56">
      <w:pPr>
        <w:pStyle w:val="Listenabsatz"/>
        <w:jc w:val="both"/>
      </w:pPr>
      <w:r>
        <w:t>Dies gilt auch, wenn sich die unwirksame Bestimmung auf eine Frist oder ein Maß bezieht. Es soll dann dasjenige vereinbart sein, was dem gewollten am nächsten kommt und rechtlich zulässig ist.</w:t>
      </w:r>
    </w:p>
    <w:p w:rsidR="00C02EF7" w:rsidRDefault="00C02EF7" w:rsidP="00C02EF7"/>
    <w:p w:rsidR="00C02EF7" w:rsidRDefault="00C02EF7" w:rsidP="007C3A56">
      <w:pPr>
        <w:pStyle w:val="Listenabsatz"/>
        <w:numPr>
          <w:ilvl w:val="0"/>
          <w:numId w:val="24"/>
        </w:numPr>
        <w:jc w:val="both"/>
      </w:pPr>
      <w:r>
        <w:t xml:space="preserve">Sämtliche Vereinbarungen zwischen Vermieter und Mieter sind in diesem </w:t>
      </w:r>
      <w:r w:rsidR="001B3BB6">
        <w:t>Vertrag</w:t>
      </w:r>
      <w:r>
        <w:t xml:space="preserve"> abschli</w:t>
      </w:r>
      <w:r>
        <w:t>e</w:t>
      </w:r>
      <w:r>
        <w:t>ßend geregelt. Mündliche Nebenabreden bestehen nicht. Änderungen, Ergänzungen, Künd</w:t>
      </w:r>
      <w:r>
        <w:t>i</w:t>
      </w:r>
      <w:r>
        <w:t>gungen und Aufhebungen dieses Vertrags bedürfen zu ihrer Wirksamkeit der Schriftform.</w:t>
      </w:r>
    </w:p>
    <w:p w:rsidR="00C02EF7" w:rsidRDefault="00C02EF7" w:rsidP="001B3BB6"/>
    <w:p w:rsidR="001B3BB6" w:rsidRPr="007C3A56" w:rsidRDefault="00D83FB6" w:rsidP="007C3A56">
      <w:pPr>
        <w:jc w:val="center"/>
        <w:rPr>
          <w:b/>
        </w:rPr>
      </w:pPr>
      <w:r>
        <w:rPr>
          <w:b/>
        </w:rPr>
        <w:t>§ 17</w:t>
      </w:r>
      <w:r w:rsidR="001B3BB6" w:rsidRPr="007C3A56">
        <w:rPr>
          <w:b/>
        </w:rPr>
        <w:t xml:space="preserve"> Sonstige Vereinbarungen</w:t>
      </w:r>
    </w:p>
    <w:p w:rsidR="001B3BB6" w:rsidRDefault="007738C6" w:rsidP="008F58F7">
      <w:pPr>
        <w:pStyle w:val="Listenabsatz"/>
        <w:numPr>
          <w:ilvl w:val="0"/>
          <w:numId w:val="25"/>
        </w:numPr>
        <w:jc w:val="both"/>
      </w:pPr>
      <w:r>
        <w:t>Die Kellerräume sin</w:t>
      </w:r>
      <w:r w:rsidR="007C3A56">
        <w:t>d lt. s</w:t>
      </w:r>
      <w:r>
        <w:t>ächsischer Bauordnung als Abstellräume ausgewiesen. Es wird d</w:t>
      </w:r>
      <w:r>
        <w:t>a</w:t>
      </w:r>
      <w:r>
        <w:t>rauf hingewiesen, dass Kellerräume nicht als Wohnräume geeignet sind und organische Sto</w:t>
      </w:r>
      <w:r>
        <w:t>f</w:t>
      </w:r>
      <w:r>
        <w:t>fe nicht dauerhaft ohne Beeinflussung gelagert werden können.</w:t>
      </w:r>
    </w:p>
    <w:p w:rsidR="007C3A56" w:rsidRDefault="007C3A56" w:rsidP="008F58F7">
      <w:pPr>
        <w:pStyle w:val="Listenabsatz"/>
        <w:jc w:val="both"/>
      </w:pPr>
    </w:p>
    <w:p w:rsidR="007738C6" w:rsidRDefault="007738C6" w:rsidP="008F58F7">
      <w:pPr>
        <w:pStyle w:val="Listenabsatz"/>
        <w:numPr>
          <w:ilvl w:val="0"/>
          <w:numId w:val="25"/>
        </w:numPr>
        <w:jc w:val="both"/>
      </w:pPr>
      <w:r>
        <w:t>Der Mieter hält sämtliche haustechnischen Einrichtungen, wie Wasseruhren, Wärmeme</w:t>
      </w:r>
      <w:r>
        <w:t>n</w:t>
      </w:r>
      <w:r>
        <w:t>genzähler u.a. zugänglich, so dass im Schadensfall Reparaturen ausgeführt werden können.</w:t>
      </w:r>
    </w:p>
    <w:p w:rsidR="008F58F7" w:rsidRDefault="008F58F7" w:rsidP="008F58F7"/>
    <w:p w:rsidR="007738C6" w:rsidRDefault="007738C6" w:rsidP="008F58F7">
      <w:pPr>
        <w:pStyle w:val="Listenabsatz"/>
        <w:numPr>
          <w:ilvl w:val="0"/>
          <w:numId w:val="25"/>
        </w:numPr>
        <w:jc w:val="both"/>
      </w:pPr>
      <w:r>
        <w:t>Wird dem Mieter die Wohnung bereits vor dem eigentlichen Mietbeginn übergeben, gilt zw</w:t>
      </w:r>
      <w:r>
        <w:t>i</w:t>
      </w:r>
      <w:r>
        <w:t>schen Mieter und Vermieter als vereinbart, dass der Mieter ab dem Datum der Wohnung</w:t>
      </w:r>
      <w:r>
        <w:t>s</w:t>
      </w:r>
      <w:r>
        <w:t>übergabe die für die Wohnung anfallenden Betriebskosten trägt. Er wird ab diesen Zeitpunkt die im § 3 Punkt 2 a) und b) vereinbarten Vorauszahlungen zahlen.</w:t>
      </w:r>
    </w:p>
    <w:p w:rsidR="008F58F7" w:rsidRDefault="008F58F7" w:rsidP="008F58F7">
      <w:pPr>
        <w:jc w:val="both"/>
      </w:pPr>
    </w:p>
    <w:p w:rsidR="007738C6" w:rsidRDefault="007738C6" w:rsidP="007738C6">
      <w:pPr>
        <w:pStyle w:val="Listenabsatz"/>
        <w:numPr>
          <w:ilvl w:val="0"/>
          <w:numId w:val="25"/>
        </w:numPr>
      </w:pPr>
      <w:r>
        <w:t>Anlagen:</w:t>
      </w:r>
    </w:p>
    <w:p w:rsidR="007738C6" w:rsidRDefault="007738C6" w:rsidP="007738C6">
      <w:pPr>
        <w:pStyle w:val="Listenabsatz"/>
      </w:pPr>
      <w:r>
        <w:t>-</w:t>
      </w:r>
      <w:r w:rsidR="008F58F7">
        <w:t xml:space="preserve"> </w:t>
      </w:r>
      <w:r>
        <w:t>Die Hausordnung ist Bestandteil des Vertrags.</w:t>
      </w:r>
    </w:p>
    <w:p w:rsidR="007738C6" w:rsidRDefault="007738C6" w:rsidP="007738C6">
      <w:pPr>
        <w:pStyle w:val="Listenabsatz"/>
      </w:pPr>
      <w:r>
        <w:t>-</w:t>
      </w:r>
      <w:r w:rsidR="008F58F7">
        <w:t xml:space="preserve"> </w:t>
      </w:r>
      <w:r>
        <w:t>Das Merkblatt „Richtiges Heizen und Lüften“ wird Bestandteil des Vertrages.</w:t>
      </w:r>
    </w:p>
    <w:p w:rsidR="007738C6" w:rsidRDefault="007738C6" w:rsidP="007738C6">
      <w:pPr>
        <w:pStyle w:val="Listenabsatz"/>
      </w:pPr>
    </w:p>
    <w:p w:rsidR="00D34DEA" w:rsidRDefault="00D34DEA" w:rsidP="007738C6">
      <w:pPr>
        <w:pStyle w:val="Listenabsatz"/>
      </w:pPr>
      <w:r>
        <w:t>Der Mieter bestätigt mit seiner Unterschrift unter dem Mietvertrag, dass er die Anlagen e</w:t>
      </w:r>
      <w:r>
        <w:t>r</w:t>
      </w:r>
      <w:r>
        <w:t>halten hat und damit einverstanden ist.</w:t>
      </w:r>
    </w:p>
    <w:p w:rsidR="00D34DEA" w:rsidRDefault="00D34DEA" w:rsidP="007738C6">
      <w:pPr>
        <w:pStyle w:val="Listenabsatz"/>
      </w:pPr>
    </w:p>
    <w:p w:rsidR="00D34DEA" w:rsidRDefault="00D34DEA" w:rsidP="007738C6">
      <w:pPr>
        <w:pStyle w:val="Listenabsatz"/>
      </w:pPr>
      <w:r>
        <w:t>Das Übergabeprotokoll wird ebenfalls Bestandteil des Vertrages.</w:t>
      </w:r>
    </w:p>
    <w:p w:rsidR="00D34DEA" w:rsidRDefault="00D34DEA" w:rsidP="007738C6">
      <w:pPr>
        <w:pStyle w:val="Listenabsatz"/>
      </w:pP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84"/>
        <w:gridCol w:w="4252"/>
      </w:tblGrid>
      <w:tr w:rsidR="005D60CB" w:rsidTr="005D60CB">
        <w:tc>
          <w:tcPr>
            <w:tcW w:w="3924" w:type="dxa"/>
          </w:tcPr>
          <w:p w:rsidR="005D60CB" w:rsidRDefault="005D60CB" w:rsidP="005D60CB">
            <w:pPr>
              <w:pStyle w:val="Listenabsatz"/>
              <w:ind w:left="0"/>
            </w:pPr>
            <w:r>
              <w:t>Ort, dd.mm.yyyy</w:t>
            </w:r>
          </w:p>
        </w:tc>
        <w:tc>
          <w:tcPr>
            <w:tcW w:w="284" w:type="dxa"/>
          </w:tcPr>
          <w:p w:rsidR="005D60CB" w:rsidRDefault="005D60CB" w:rsidP="007738C6">
            <w:pPr>
              <w:pStyle w:val="Listenabsatz"/>
              <w:ind w:left="0"/>
            </w:pPr>
          </w:p>
        </w:tc>
        <w:tc>
          <w:tcPr>
            <w:tcW w:w="4252" w:type="dxa"/>
          </w:tcPr>
          <w:p w:rsidR="005D60CB" w:rsidRDefault="005D60CB" w:rsidP="007738C6">
            <w:pPr>
              <w:pStyle w:val="Listenabsatz"/>
              <w:ind w:left="0"/>
            </w:pPr>
          </w:p>
        </w:tc>
      </w:tr>
      <w:tr w:rsidR="005D60CB" w:rsidTr="005D60CB">
        <w:tc>
          <w:tcPr>
            <w:tcW w:w="3924" w:type="dxa"/>
            <w:tcBorders>
              <w:bottom w:val="single" w:sz="4" w:space="0" w:color="auto"/>
            </w:tcBorders>
          </w:tcPr>
          <w:p w:rsidR="005D60CB" w:rsidRDefault="005D60CB" w:rsidP="007738C6">
            <w:pPr>
              <w:pStyle w:val="Listenabsatz"/>
              <w:ind w:left="0"/>
            </w:pPr>
          </w:p>
          <w:p w:rsidR="005D60CB" w:rsidRDefault="005D60CB" w:rsidP="007738C6">
            <w:pPr>
              <w:pStyle w:val="Listenabsatz"/>
              <w:ind w:left="0"/>
            </w:pPr>
          </w:p>
          <w:p w:rsidR="005D60CB" w:rsidRDefault="005D60CB" w:rsidP="007738C6">
            <w:pPr>
              <w:pStyle w:val="Listenabsatz"/>
              <w:ind w:left="0"/>
            </w:pPr>
          </w:p>
        </w:tc>
        <w:tc>
          <w:tcPr>
            <w:tcW w:w="284" w:type="dxa"/>
          </w:tcPr>
          <w:p w:rsidR="005D60CB" w:rsidRDefault="005D60CB" w:rsidP="007738C6">
            <w:pPr>
              <w:pStyle w:val="Listenabsatz"/>
              <w:ind w:left="0"/>
            </w:pPr>
          </w:p>
        </w:tc>
        <w:tc>
          <w:tcPr>
            <w:tcW w:w="4252" w:type="dxa"/>
            <w:tcBorders>
              <w:bottom w:val="single" w:sz="4" w:space="0" w:color="auto"/>
            </w:tcBorders>
          </w:tcPr>
          <w:p w:rsidR="005D60CB" w:rsidRDefault="005D60CB" w:rsidP="007738C6">
            <w:pPr>
              <w:pStyle w:val="Listenabsatz"/>
              <w:ind w:left="0"/>
            </w:pPr>
          </w:p>
        </w:tc>
      </w:tr>
      <w:tr w:rsidR="005D60CB" w:rsidTr="005D60CB">
        <w:tc>
          <w:tcPr>
            <w:tcW w:w="3924" w:type="dxa"/>
            <w:tcBorders>
              <w:top w:val="single" w:sz="4" w:space="0" w:color="auto"/>
            </w:tcBorders>
          </w:tcPr>
          <w:p w:rsidR="005D60CB" w:rsidRDefault="005D60CB" w:rsidP="007738C6">
            <w:pPr>
              <w:pStyle w:val="Listenabsatz"/>
              <w:ind w:left="0"/>
            </w:pPr>
            <w:r>
              <w:t>Vermieter</w:t>
            </w:r>
          </w:p>
        </w:tc>
        <w:tc>
          <w:tcPr>
            <w:tcW w:w="284" w:type="dxa"/>
          </w:tcPr>
          <w:p w:rsidR="005D60CB" w:rsidRDefault="005D60CB" w:rsidP="007738C6">
            <w:pPr>
              <w:pStyle w:val="Listenabsatz"/>
              <w:ind w:left="0"/>
            </w:pPr>
          </w:p>
        </w:tc>
        <w:tc>
          <w:tcPr>
            <w:tcW w:w="4252" w:type="dxa"/>
            <w:tcBorders>
              <w:top w:val="single" w:sz="4" w:space="0" w:color="auto"/>
            </w:tcBorders>
          </w:tcPr>
          <w:p w:rsidR="005D60CB" w:rsidRDefault="005D60CB" w:rsidP="007738C6">
            <w:pPr>
              <w:pStyle w:val="Listenabsatz"/>
              <w:ind w:left="0"/>
            </w:pPr>
            <w:r>
              <w:t>Mieter</w:t>
            </w:r>
          </w:p>
        </w:tc>
      </w:tr>
    </w:tbl>
    <w:p w:rsidR="00D34DEA" w:rsidRDefault="00D34DEA" w:rsidP="007738C6">
      <w:pPr>
        <w:pStyle w:val="Listenabsatz"/>
      </w:pPr>
    </w:p>
    <w:p w:rsidR="008F58F7" w:rsidRDefault="008F58F7" w:rsidP="007738C6">
      <w:pPr>
        <w:pStyle w:val="Listenabsatz"/>
      </w:pPr>
    </w:p>
    <w:p w:rsidR="001B3BB6" w:rsidRDefault="001B3BB6" w:rsidP="001B3BB6"/>
    <w:p w:rsidR="00236B20" w:rsidRDefault="00236B20" w:rsidP="00236B20"/>
    <w:sectPr w:rsidR="00236B20">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17" w:rsidRDefault="00453E17" w:rsidP="003344C6">
      <w:pPr>
        <w:spacing w:line="240" w:lineRule="auto"/>
      </w:pPr>
      <w:r>
        <w:separator/>
      </w:r>
    </w:p>
  </w:endnote>
  <w:endnote w:type="continuationSeparator" w:id="0">
    <w:p w:rsidR="00453E17" w:rsidRDefault="00453E17" w:rsidP="00334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C6" w:rsidRPr="003344C6" w:rsidRDefault="003344C6">
    <w:pPr>
      <w:pStyle w:val="Fuzeile"/>
    </w:pPr>
    <w:r w:rsidRPr="003344C6">
      <w:rPr>
        <w:sz w:val="16"/>
        <w:szCs w:val="16"/>
      </w:rPr>
      <w:t>Mietvertrag/1.0/29.01.2017/US</w:t>
    </w:r>
    <w:r>
      <w:rPr>
        <w:sz w:val="16"/>
        <w:szCs w:val="16"/>
      </w:rPr>
      <w:tab/>
    </w:r>
    <w:r>
      <w:rPr>
        <w:sz w:val="16"/>
        <w:szCs w:val="16"/>
      </w:rPr>
      <w:tab/>
    </w:r>
    <w:r w:rsidRPr="003344C6">
      <w:t xml:space="preserve">Seite </w:t>
    </w:r>
    <w:r>
      <w:fldChar w:fldCharType="begin"/>
    </w:r>
    <w:r>
      <w:instrText xml:space="preserve"> PAGE  \* Arabic  \* MERGEFORMAT </w:instrText>
    </w:r>
    <w:r>
      <w:fldChar w:fldCharType="separate"/>
    </w:r>
    <w:r w:rsidR="00453E17">
      <w:rPr>
        <w:noProof/>
      </w:rPr>
      <w:t>1</w:t>
    </w:r>
    <w:r>
      <w:fldChar w:fldCharType="end"/>
    </w:r>
    <w:r>
      <w:t xml:space="preserve"> von </w:t>
    </w:r>
    <w:r w:rsidR="00453E17">
      <w:fldChar w:fldCharType="begin"/>
    </w:r>
    <w:r w:rsidR="00453E17">
      <w:instrText xml:space="preserve"> NUMPAGES   \* MERGEFORMAT </w:instrText>
    </w:r>
    <w:r w:rsidR="00453E17">
      <w:fldChar w:fldCharType="separate"/>
    </w:r>
    <w:r w:rsidR="00453E17">
      <w:rPr>
        <w:noProof/>
      </w:rPr>
      <w:t>1</w:t>
    </w:r>
    <w:r w:rsidR="00453E1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17" w:rsidRDefault="00453E17" w:rsidP="003344C6">
      <w:pPr>
        <w:spacing w:line="240" w:lineRule="auto"/>
      </w:pPr>
      <w:r>
        <w:separator/>
      </w:r>
    </w:p>
  </w:footnote>
  <w:footnote w:type="continuationSeparator" w:id="0">
    <w:p w:rsidR="00453E17" w:rsidRDefault="00453E17" w:rsidP="003344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C55"/>
    <w:multiLevelType w:val="hybridMultilevel"/>
    <w:tmpl w:val="74F696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545462B"/>
    <w:multiLevelType w:val="hybridMultilevel"/>
    <w:tmpl w:val="728CC9C4"/>
    <w:lvl w:ilvl="0" w:tplc="762261A6">
      <w:start w:val="1945"/>
      <w:numFmt w:val="decimalZero"/>
      <w:lvlText w:val="%1"/>
      <w:lvlJc w:val="left"/>
      <w:pPr>
        <w:ind w:left="900" w:hanging="5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B500A3"/>
    <w:multiLevelType w:val="hybridMultilevel"/>
    <w:tmpl w:val="29283E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7637E6A"/>
    <w:multiLevelType w:val="hybridMultilevel"/>
    <w:tmpl w:val="088C4DBA"/>
    <w:lvl w:ilvl="0" w:tplc="62EECDFE">
      <w:start w:val="194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A1F7049"/>
    <w:multiLevelType w:val="hybridMultilevel"/>
    <w:tmpl w:val="C8BECE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A3012C7"/>
    <w:multiLevelType w:val="hybridMultilevel"/>
    <w:tmpl w:val="BC64BC48"/>
    <w:lvl w:ilvl="0" w:tplc="A93CE1F2">
      <w:start w:val="194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C013745"/>
    <w:multiLevelType w:val="hybridMultilevel"/>
    <w:tmpl w:val="FD7AF3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F59728E"/>
    <w:multiLevelType w:val="hybridMultilevel"/>
    <w:tmpl w:val="E154078A"/>
    <w:lvl w:ilvl="0" w:tplc="40B83594">
      <w:start w:val="1"/>
      <w:numFmt w:val="bullet"/>
      <w:lvlText w:val="-"/>
      <w:lvlJc w:val="left"/>
      <w:pPr>
        <w:ind w:left="1776" w:hanging="360"/>
      </w:pPr>
      <w:rPr>
        <w:rFonts w:ascii="Calibri" w:eastAsiaTheme="minorHAnsi" w:hAnsi="Calibri" w:cstheme="minorBid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
    <w:nsid w:val="0FD87C97"/>
    <w:multiLevelType w:val="hybridMultilevel"/>
    <w:tmpl w:val="2C2C0A0E"/>
    <w:lvl w:ilvl="0" w:tplc="64DA7A8E">
      <w:start w:val="1"/>
      <w:numFmt w:val="bullet"/>
      <w:lvlText w:val="-"/>
      <w:lvlJc w:val="left"/>
      <w:pPr>
        <w:ind w:left="1068" w:hanging="360"/>
      </w:pPr>
      <w:rPr>
        <w:rFonts w:ascii="Calibri" w:eastAsiaTheme="minorHAnsi" w:hAnsi="Calibri" w:cstheme="minorBid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nsid w:val="1C201DE0"/>
    <w:multiLevelType w:val="hybridMultilevel"/>
    <w:tmpl w:val="81A05D8A"/>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nsid w:val="1D463967"/>
    <w:multiLevelType w:val="hybridMultilevel"/>
    <w:tmpl w:val="C83059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03D6E52"/>
    <w:multiLevelType w:val="hybridMultilevel"/>
    <w:tmpl w:val="C30C3972"/>
    <w:lvl w:ilvl="0" w:tplc="D1D2F8D6">
      <w:start w:val="1945"/>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653716F"/>
    <w:multiLevelType w:val="hybridMultilevel"/>
    <w:tmpl w:val="309ADA6A"/>
    <w:lvl w:ilvl="0" w:tplc="55C82BA2">
      <w:start w:val="1945"/>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29402C00"/>
    <w:multiLevelType w:val="hybridMultilevel"/>
    <w:tmpl w:val="E264C5C8"/>
    <w:lvl w:ilvl="0" w:tplc="3B50B5B8">
      <w:start w:val="1945"/>
      <w:numFmt w:val="decimalZero"/>
      <w:lvlText w:val="%1"/>
      <w:lvlJc w:val="left"/>
      <w:pPr>
        <w:ind w:left="900" w:hanging="54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4E609BB"/>
    <w:multiLevelType w:val="hybridMultilevel"/>
    <w:tmpl w:val="7196F3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76F5178"/>
    <w:multiLevelType w:val="hybridMultilevel"/>
    <w:tmpl w:val="7D8AA6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A5A4017"/>
    <w:multiLevelType w:val="hybridMultilevel"/>
    <w:tmpl w:val="CB868C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E032915"/>
    <w:multiLevelType w:val="hybridMultilevel"/>
    <w:tmpl w:val="BCF6CA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0EA116F"/>
    <w:multiLevelType w:val="hybridMultilevel"/>
    <w:tmpl w:val="DE527AA4"/>
    <w:lvl w:ilvl="0" w:tplc="56B6FDD0">
      <w:start w:val="194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4C495C"/>
    <w:multiLevelType w:val="hybridMultilevel"/>
    <w:tmpl w:val="11C29E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35A033D"/>
    <w:multiLevelType w:val="hybridMultilevel"/>
    <w:tmpl w:val="D73248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5495519"/>
    <w:multiLevelType w:val="hybridMultilevel"/>
    <w:tmpl w:val="D93A09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AF018D2"/>
    <w:multiLevelType w:val="hybridMultilevel"/>
    <w:tmpl w:val="ED4C38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0533D14"/>
    <w:multiLevelType w:val="hybridMultilevel"/>
    <w:tmpl w:val="29283E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5DB0322"/>
    <w:multiLevelType w:val="hybridMultilevel"/>
    <w:tmpl w:val="90245E96"/>
    <w:lvl w:ilvl="0" w:tplc="EDFEE212">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5">
    <w:nsid w:val="586D0662"/>
    <w:multiLevelType w:val="hybridMultilevel"/>
    <w:tmpl w:val="3E98A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9BD35E6"/>
    <w:multiLevelType w:val="hybridMultilevel"/>
    <w:tmpl w:val="C5E09928"/>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7">
    <w:nsid w:val="6D8F5B96"/>
    <w:multiLevelType w:val="hybridMultilevel"/>
    <w:tmpl w:val="BBAEAE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30255DC"/>
    <w:multiLevelType w:val="hybridMultilevel"/>
    <w:tmpl w:val="4AAACF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C547ABA"/>
    <w:multiLevelType w:val="hybridMultilevel"/>
    <w:tmpl w:val="D4CE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22"/>
  </w:num>
  <w:num w:numId="4">
    <w:abstractNumId w:val="27"/>
  </w:num>
  <w:num w:numId="5">
    <w:abstractNumId w:val="19"/>
  </w:num>
  <w:num w:numId="6">
    <w:abstractNumId w:val="29"/>
  </w:num>
  <w:num w:numId="7">
    <w:abstractNumId w:val="9"/>
  </w:num>
  <w:num w:numId="8">
    <w:abstractNumId w:val="26"/>
  </w:num>
  <w:num w:numId="9">
    <w:abstractNumId w:val="24"/>
  </w:num>
  <w:num w:numId="10">
    <w:abstractNumId w:val="14"/>
  </w:num>
  <w:num w:numId="11">
    <w:abstractNumId w:val="28"/>
  </w:num>
  <w:num w:numId="12">
    <w:abstractNumId w:val="17"/>
  </w:num>
  <w:num w:numId="13">
    <w:abstractNumId w:val="6"/>
  </w:num>
  <w:num w:numId="14">
    <w:abstractNumId w:val="16"/>
  </w:num>
  <w:num w:numId="15">
    <w:abstractNumId w:val="20"/>
  </w:num>
  <w:num w:numId="16">
    <w:abstractNumId w:val="7"/>
  </w:num>
  <w:num w:numId="17">
    <w:abstractNumId w:val="8"/>
  </w:num>
  <w:num w:numId="18">
    <w:abstractNumId w:val="0"/>
  </w:num>
  <w:num w:numId="19">
    <w:abstractNumId w:val="15"/>
  </w:num>
  <w:num w:numId="20">
    <w:abstractNumId w:val="4"/>
  </w:num>
  <w:num w:numId="21">
    <w:abstractNumId w:val="25"/>
  </w:num>
  <w:num w:numId="22">
    <w:abstractNumId w:val="10"/>
  </w:num>
  <w:num w:numId="23">
    <w:abstractNumId w:val="21"/>
  </w:num>
  <w:num w:numId="24">
    <w:abstractNumId w:val="2"/>
  </w:num>
  <w:num w:numId="25">
    <w:abstractNumId w:val="23"/>
  </w:num>
  <w:num w:numId="26">
    <w:abstractNumId w:val="5"/>
  </w:num>
  <w:num w:numId="27">
    <w:abstractNumId w:val="13"/>
  </w:num>
  <w:num w:numId="28">
    <w:abstractNumId w:val="12"/>
  </w:num>
  <w:num w:numId="29">
    <w:abstractNumId w:val="1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3A"/>
    <w:rsid w:val="0002137B"/>
    <w:rsid w:val="000E6EAA"/>
    <w:rsid w:val="000F1E74"/>
    <w:rsid w:val="00127E29"/>
    <w:rsid w:val="001B1FD4"/>
    <w:rsid w:val="001B2B58"/>
    <w:rsid w:val="001B3BB6"/>
    <w:rsid w:val="001D3954"/>
    <w:rsid w:val="00220EE9"/>
    <w:rsid w:val="00236B20"/>
    <w:rsid w:val="00254055"/>
    <w:rsid w:val="00265301"/>
    <w:rsid w:val="002873DB"/>
    <w:rsid w:val="00297827"/>
    <w:rsid w:val="002A0F36"/>
    <w:rsid w:val="002C4E31"/>
    <w:rsid w:val="003344C6"/>
    <w:rsid w:val="00352CE2"/>
    <w:rsid w:val="003C0598"/>
    <w:rsid w:val="00415A6E"/>
    <w:rsid w:val="00453E17"/>
    <w:rsid w:val="00475289"/>
    <w:rsid w:val="004B37E3"/>
    <w:rsid w:val="004C2F67"/>
    <w:rsid w:val="004C78D9"/>
    <w:rsid w:val="0051155F"/>
    <w:rsid w:val="00524205"/>
    <w:rsid w:val="005658F2"/>
    <w:rsid w:val="005D60CB"/>
    <w:rsid w:val="00625B3E"/>
    <w:rsid w:val="006318CF"/>
    <w:rsid w:val="00686B00"/>
    <w:rsid w:val="006C113A"/>
    <w:rsid w:val="006D7AE2"/>
    <w:rsid w:val="006E2CF3"/>
    <w:rsid w:val="00713D42"/>
    <w:rsid w:val="007738C6"/>
    <w:rsid w:val="007847BA"/>
    <w:rsid w:val="007972EA"/>
    <w:rsid w:val="007C3A56"/>
    <w:rsid w:val="008434B8"/>
    <w:rsid w:val="008515A0"/>
    <w:rsid w:val="00857071"/>
    <w:rsid w:val="008F58F7"/>
    <w:rsid w:val="00924C6E"/>
    <w:rsid w:val="009B5EE7"/>
    <w:rsid w:val="009D7F8E"/>
    <w:rsid w:val="00A133E2"/>
    <w:rsid w:val="00A45E8E"/>
    <w:rsid w:val="00B10B46"/>
    <w:rsid w:val="00B3672C"/>
    <w:rsid w:val="00B438BB"/>
    <w:rsid w:val="00B73A59"/>
    <w:rsid w:val="00BA5E13"/>
    <w:rsid w:val="00BC3655"/>
    <w:rsid w:val="00C02EF7"/>
    <w:rsid w:val="00D34DEA"/>
    <w:rsid w:val="00D614FB"/>
    <w:rsid w:val="00D63F37"/>
    <w:rsid w:val="00D83FB6"/>
    <w:rsid w:val="00EA75D5"/>
    <w:rsid w:val="00F10FDB"/>
    <w:rsid w:val="00F11298"/>
    <w:rsid w:val="00F616C7"/>
    <w:rsid w:val="00F900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C113A"/>
    <w:pPr>
      <w:ind w:left="720"/>
      <w:contextualSpacing/>
    </w:pPr>
  </w:style>
  <w:style w:type="paragraph" w:styleId="Sprechblasentext">
    <w:name w:val="Balloon Text"/>
    <w:basedOn w:val="Standard"/>
    <w:link w:val="SprechblasentextZchn"/>
    <w:uiPriority w:val="99"/>
    <w:semiHidden/>
    <w:unhideWhenUsed/>
    <w:rsid w:val="009B5EE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5EE7"/>
    <w:rPr>
      <w:rFonts w:ascii="Tahoma" w:hAnsi="Tahoma" w:cs="Tahoma"/>
      <w:sz w:val="16"/>
      <w:szCs w:val="16"/>
    </w:rPr>
  </w:style>
  <w:style w:type="paragraph" w:styleId="Kopfzeile">
    <w:name w:val="header"/>
    <w:basedOn w:val="Standard"/>
    <w:link w:val="KopfzeileZchn"/>
    <w:uiPriority w:val="99"/>
    <w:unhideWhenUsed/>
    <w:rsid w:val="003344C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344C6"/>
  </w:style>
  <w:style w:type="paragraph" w:styleId="Fuzeile">
    <w:name w:val="footer"/>
    <w:basedOn w:val="Standard"/>
    <w:link w:val="FuzeileZchn"/>
    <w:uiPriority w:val="99"/>
    <w:unhideWhenUsed/>
    <w:rsid w:val="003344C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344C6"/>
  </w:style>
  <w:style w:type="table" w:styleId="Tabellenraster">
    <w:name w:val="Table Grid"/>
    <w:basedOn w:val="NormaleTabelle"/>
    <w:uiPriority w:val="59"/>
    <w:rsid w:val="00B438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C113A"/>
    <w:pPr>
      <w:ind w:left="720"/>
      <w:contextualSpacing/>
    </w:pPr>
  </w:style>
  <w:style w:type="paragraph" w:styleId="Sprechblasentext">
    <w:name w:val="Balloon Text"/>
    <w:basedOn w:val="Standard"/>
    <w:link w:val="SprechblasentextZchn"/>
    <w:uiPriority w:val="99"/>
    <w:semiHidden/>
    <w:unhideWhenUsed/>
    <w:rsid w:val="009B5EE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5EE7"/>
    <w:rPr>
      <w:rFonts w:ascii="Tahoma" w:hAnsi="Tahoma" w:cs="Tahoma"/>
      <w:sz w:val="16"/>
      <w:szCs w:val="16"/>
    </w:rPr>
  </w:style>
  <w:style w:type="paragraph" w:styleId="Kopfzeile">
    <w:name w:val="header"/>
    <w:basedOn w:val="Standard"/>
    <w:link w:val="KopfzeileZchn"/>
    <w:uiPriority w:val="99"/>
    <w:unhideWhenUsed/>
    <w:rsid w:val="003344C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344C6"/>
  </w:style>
  <w:style w:type="paragraph" w:styleId="Fuzeile">
    <w:name w:val="footer"/>
    <w:basedOn w:val="Standard"/>
    <w:link w:val="FuzeileZchn"/>
    <w:uiPriority w:val="99"/>
    <w:unhideWhenUsed/>
    <w:rsid w:val="003344C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344C6"/>
  </w:style>
  <w:style w:type="table" w:styleId="Tabellenraster">
    <w:name w:val="Table Grid"/>
    <w:basedOn w:val="NormaleTabelle"/>
    <w:uiPriority w:val="59"/>
    <w:rsid w:val="00B438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116B-5A23-4103-8932-9120EF36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2487</Words>
  <Characters>15674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Koch</dc:creator>
  <cp:lastModifiedBy>Uwe Schleichert</cp:lastModifiedBy>
  <cp:revision>3</cp:revision>
  <cp:lastPrinted>2017-02-10T14:32:00Z</cp:lastPrinted>
  <dcterms:created xsi:type="dcterms:W3CDTF">2017-09-29T06:41:00Z</dcterms:created>
  <dcterms:modified xsi:type="dcterms:W3CDTF">2017-09-29T06:49:00Z</dcterms:modified>
</cp:coreProperties>
</file>